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 xml:space="preserve">Kierownik Jednostki Samorządu Terytorialnego (dalej JST)  - w rozumieniu art. 33 ust. 3 Ustawy o samorządzie gminnym (Dz.U.2016.446 </w:t>
      </w:r>
      <w:proofErr w:type="spellStart"/>
      <w:r w:rsidRPr="00B04F12">
        <w:rPr>
          <w:rFonts w:ascii="Arial" w:hAnsi="Arial" w:cs="Arial"/>
          <w:sz w:val="20"/>
          <w:szCs w:val="20"/>
          <w:lang w:val="pl-PL"/>
        </w:rPr>
        <w:t>t.j</w:t>
      </w:r>
      <w:proofErr w:type="spellEnd"/>
      <w:r w:rsidRPr="00B04F12">
        <w:rPr>
          <w:rFonts w:ascii="Arial" w:hAnsi="Arial" w:cs="Arial"/>
          <w:sz w:val="20"/>
          <w:szCs w:val="20"/>
          <w:lang w:val="pl-PL"/>
        </w:rPr>
        <w:t>. z dnia 2016.04.04)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Dane wnioskodawcy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</w:t>
      </w:r>
      <w:r w:rsidRPr="00B04F12">
        <w:rPr>
          <w:rFonts w:ascii="Arial" w:hAnsi="Arial" w:cs="Arial"/>
          <w:b/>
          <w:bCs/>
          <w:sz w:val="20"/>
          <w:szCs w:val="20"/>
          <w:lang w:val="pl-PL"/>
        </w:rPr>
        <w:t xml:space="preserve"> Data dostarczenia - zgodna z dyspozycją art. 61 pkt. 2 Ustawy Kodeks Cywilny (Dz. U. 2014.121 j.t.)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Preambuła Wniosku: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W naszym ostatnich wnioskach w 2016 r.  - pytaliśmy Gminy/Miasta - w trybie Ustawy o dostępie do informacji publicznej - o stan faktyczny związany funkcjonującym oprogramowaniem w Urzędach.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Pytaliśmy również w trybie ustawy o dostępie do informacji publicznej -  o aspekty związane z ochroną danych osobowych.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W przyszłości zamierzamy zapytać o  zasady powierzenia przetwarzania danych osobowych innym podmiotom - w kontekście usług poczty elektronicznej - art. 31 ust 1. Ustawy o ochronie danych osobowych.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Interesuje nas to również w związku z planowanym - na 28 maja 2018 r. - zakończeniem vacatio legis - dot.  Rozporządzenia  (UE) 2016/679 w sprawie ochrony osób fizycznych w związku z przetwarzaniem danych osobowych i w sprawie swobodnego przepływu takich danych (...)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W przedmiotowym Rozporządzeniu - znajduje się szeroki opis wykładni funkcjonalnej - związanej z intencjami Ustawodawcy. Trudno nie podzielić pewnych tez w nim zawartych: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"Szybki postęp techniczny i globalizacja przyniosły nowe wyzwania w dziedzinie ochrony danych osobowych. Skala zbierania i wymiany danych osobowych znacząco wzrosła. Dzięki technologii zarówno przedsiębiorstwa prywatne, jak i organy publiczne mogą na niespotykaną dotąd skalę wykorzystywać dane osobowe w swojej działalności. Osoby fizyczne coraz częściej udostępniają informacje osobowe publicznie i globalnie."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Ponadto: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Najwyższa Izba Kontroli w protokole pokontrolnym nr kap-4101-002-00/2014 -  " (...)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(...)"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Uzyskane przez nas odpowiedzi - świadczą o tym, że w ciągu ostatniego roku -  część Urzędów starała się wdrożyć procedury sanacyjne zmieniające stan faktyczny opisany w bardzo negatywnych opiniach zawartych  w ramach wzmiankowanego protokołu NIK nr kap-4101-002-00/2014 -  " (...) z lutego 2015 r.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Duża ilość Gmin z dobrym skutkiem -  zrealizowała - lub rozpoczęła realizować działania zmierzające do optymalizacji funkcjonującego Systemu Zarządzania Bezpieczeństwem Informacji.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Aby potwierdzić rzeczone informacje, składamy wniosek, o treści jak poniżej: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b/>
          <w:bCs/>
          <w:sz w:val="20"/>
          <w:szCs w:val="20"/>
          <w:lang w:val="pl-PL"/>
        </w:rPr>
        <w:t>Wniosek I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 xml:space="preserve">§1) Na mocy art. 61 Konstytucji RP w związku z art. 6 ust. 1 pkt. lit. c Ustawy z dnia 6 września 2001 r. o dostępie do informacji publicznej  (Dz.U.2015.2058 z dnia 2015.12.07) - </w:t>
      </w:r>
      <w:r w:rsidRPr="00B04F12">
        <w:rPr>
          <w:rFonts w:ascii="Arial" w:hAnsi="Arial" w:cs="Arial"/>
          <w:b/>
          <w:bCs/>
          <w:sz w:val="20"/>
          <w:szCs w:val="20"/>
          <w:lang w:val="pl-PL"/>
        </w:rPr>
        <w:t>wnosimy o udzielenie informacji publicznej w przedmiocie czy Urząd (Gmina)  ustanowiła i eksploatuje - System Zarządzania Bezpieczeństwem Informacji - scilicet -  w rozumieniu dyspozycji §20  ust. 1  Rozporządzenia Rady Ministrów z  dnia 12 kwietnia 2012 r. w sprawie Krajowych Ram Interoperacyjności, minimalnych wymagań dla rejestrów publicznych i wymiany informacji w postaci elektronicznej oraz minimalnych wymagań dla systemów teleinformatycznych (Dz. U. 2012.526) ?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lastRenderedPageBreak/>
        <w:t xml:space="preserve">§2) Jeśli odpowiedź na powyższe pytanie jest twierdząca - w trybie wyżej powołanych przepisów - wnosimy o udzielnie informacji publicznej w przedmiocie - </w:t>
      </w:r>
      <w:r w:rsidRPr="00B04F12">
        <w:rPr>
          <w:rFonts w:ascii="Arial" w:hAnsi="Arial" w:cs="Arial"/>
          <w:b/>
          <w:bCs/>
          <w:sz w:val="20"/>
          <w:szCs w:val="20"/>
          <w:lang w:val="pl-PL"/>
        </w:rPr>
        <w:t>czy Urząd (Gmina) opracował wzmiankowany System Zarządzania Bezpieczeństwem Informacji na podstawie Polskiej Normy PN-ISO/IEC 27001 -  stosownie do wymogów §20 ust. 3 cytowanego powyżej Rozporządzenia Rady Ministrów w sprawie Krajowych Ram Interoperacyjności, (...) ?</w:t>
      </w:r>
      <w:r w:rsidRPr="00B04F12">
        <w:rPr>
          <w:rFonts w:ascii="Arial" w:hAnsi="Arial" w:cs="Arial"/>
          <w:sz w:val="20"/>
          <w:szCs w:val="20"/>
          <w:lang w:val="pl-PL"/>
        </w:rPr>
        <w:t>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 xml:space="preserve">§3) </w:t>
      </w:r>
      <w:r w:rsidRPr="00B04F12">
        <w:rPr>
          <w:rFonts w:ascii="Arial" w:hAnsi="Arial" w:cs="Arial"/>
          <w:b/>
          <w:bCs/>
          <w:sz w:val="20"/>
          <w:szCs w:val="20"/>
          <w:lang w:val="pl-PL"/>
        </w:rPr>
        <w:t>W trybie wyżej powołanych przepisów - wnosimy o udzielnie informacji publicznej w przedmiocie - kiedy ostatni raz wykonano w Jednostce Samorządu Terytorialnego -  okresowy audyt wewnętrzny w zakresie bezpieczeństwa informacji, w rozumieniu  §20 ust. 2 pkt. 14 ww. Rozporządzenia Rady Ministrów w sprawie Krajowych Ram Interoperacyjności (...) ?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 xml:space="preserve"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Społecznego, o czym świadczy szereg doniesień medialnych o atakach cybernetycznych, włamaniach do systemów Urzędów, etc - </w:t>
      </w:r>
      <w:proofErr w:type="spellStart"/>
      <w:r w:rsidRPr="00B04F12">
        <w:rPr>
          <w:rFonts w:ascii="Arial" w:hAnsi="Arial" w:cs="Arial"/>
          <w:sz w:val="20"/>
          <w:szCs w:val="20"/>
          <w:lang w:val="pl-PL"/>
        </w:rPr>
        <w:t>inter</w:t>
      </w:r>
      <w:proofErr w:type="spellEnd"/>
      <w:r w:rsidRPr="00B04F12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04F12">
        <w:rPr>
          <w:rFonts w:ascii="Arial" w:hAnsi="Arial" w:cs="Arial"/>
          <w:sz w:val="20"/>
          <w:szCs w:val="20"/>
          <w:lang w:val="pl-PL"/>
        </w:rPr>
        <w:t>alia</w:t>
      </w:r>
      <w:proofErr w:type="spellEnd"/>
      <w:r w:rsidRPr="00B04F12">
        <w:rPr>
          <w:rFonts w:ascii="Arial" w:hAnsi="Arial" w:cs="Arial"/>
          <w:sz w:val="20"/>
          <w:szCs w:val="20"/>
          <w:lang w:val="pl-PL"/>
        </w:rPr>
        <w:t>: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"Kradzież 317 tys. zł z konta Urzędu Gminy Gidle" http://radomsko.naszemiasto.pl/artykul/gmina-gidle-sprawca-e-kradziezy-niewykryty,3307561,art,t,id,tm.html  - sic!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- o podobnych sprawach media donosiły w kontekście Gminy Rząśnia, etc Jaworzno - wszystkie sprawy miały miejsce ponad rok temu.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b/>
          <w:bCs/>
          <w:sz w:val="20"/>
          <w:szCs w:val="20"/>
          <w:lang w:val="pl-PL"/>
        </w:rPr>
        <w:t>Wniosek II Odrębny</w:t>
      </w:r>
      <w:r w:rsidRPr="00B04F12">
        <w:rPr>
          <w:rFonts w:ascii="Arial" w:hAnsi="Arial" w:cs="Arial"/>
          <w:sz w:val="20"/>
          <w:szCs w:val="20"/>
          <w:lang w:val="pl-PL"/>
        </w:rPr>
        <w:t xml:space="preserve"> - Petycja w trybie Ustawy o petycjach: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Tym razem Preambuła wniosku  jest dosyć rozległa, gdyż - poza powyższym wnioskiem w trybie ustawy o dostępie do informacji publicznej: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 xml:space="preserve">II.§4) </w:t>
      </w:r>
      <w:r w:rsidRPr="00B04F12">
        <w:rPr>
          <w:rFonts w:ascii="Arial" w:hAnsi="Arial" w:cs="Arial"/>
          <w:b/>
          <w:bCs/>
          <w:sz w:val="20"/>
          <w:szCs w:val="20"/>
          <w:lang w:val="pl-PL"/>
        </w:rPr>
        <w:t>Wnosimy - w trybie art. 4 ust. 3 Ustawy z dnia 11 lipca 2014 r. o petycjach (Dz.U.2014.1195 z dnia 2014.09.05) -  o publikację - w całości - niniejszego wniosku - na stronie Internetowej (lub w BIP) Gminy/Miasta - Adresata.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bezpieczne-oprogramowanie@samorzad.pl 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§6) Wnosimy o to, aby odpowiedź w  przedmiocie powyższych petycji złożonych na mocy art. 63 Konstytucji RP - w związku z art.  241 KPA, została udzielona - zwrotnie na adres e-mail bezpieczne-oprogramowanie@samorzad.pl 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§7) Wniosek został sygnowany bezpiecznym, kwalifikowanym podpisem elektronicznym - stosownie do wytycznych Ustawy z dnia 5 września 2016 r. o usługach zaufania oraz identyfikacji elektronicznej (Dz.U.2016.1579 dnia 2016.09.29)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Wnioskodawca: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Osoba Prawna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Szulc-Efekt sp. z o. o.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ul. Poligonowa 1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04-051 Warszawa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nr KRS: 0000059459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 xml:space="preserve">Kapitał Zakładowy: 222.000,00 </w:t>
      </w:r>
      <w:proofErr w:type="spellStart"/>
      <w:r w:rsidRPr="00B04F12">
        <w:rPr>
          <w:rFonts w:ascii="Arial" w:hAnsi="Arial" w:cs="Arial"/>
          <w:sz w:val="20"/>
          <w:szCs w:val="20"/>
          <w:lang w:val="pl-PL"/>
        </w:rPr>
        <w:t>pln</w:t>
      </w:r>
      <w:proofErr w:type="spellEnd"/>
      <w:r w:rsidRPr="00B04F12">
        <w:rPr>
          <w:rFonts w:ascii="Arial" w:hAnsi="Arial" w:cs="Arial"/>
          <w:sz w:val="20"/>
          <w:szCs w:val="20"/>
          <w:lang w:val="pl-PL"/>
        </w:rPr>
        <w:t>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www.gmina.pl    www.samorzad.pl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Dodatkowe informacje: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Stosownie do art. 4 ust. 2 pkt. 5 ww. Ustawy - petycja niniejsza została złożona za pomocą środków komunikacji elektronicznej - a wskazanym zwrotnym adresem poczty elektronicznej jest: bezpieczne-oprogramowanie@samorzad.pl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Adresatem Petycji - jest Organ ujawniony w komparycji.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- To że wnioskodawca powołuje sie na art. 241 KPA, nie oznacza że niniejszy wniosek należy procedować w trybie KPA.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W mniemaniu Wnioskodawcy niniejszy wniosek powinien być procedowany w trybie Ustawy o petycjach - lub według oceny Urzędników.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Rzeczony art. 241 KPA - mówi jedynie - expressis verbis - o konieczności usprawniania i ulepszania struktur administracji publicznej - za pomocą trybu wnioskowego.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Niniejszy wniosek może być  rozpatrywany w trybie Ustawy z dnia 11 lipca 2014 r. o petycjach (Dz.U.2014.1195 z dnia 2014.09.05) - art. 241 KPA - podany jest dodatkowo - gdyż celem wniosku jest - sensu largo - usprawnienie, naprawa - na miarę istniejących możliwości - funkcjonowania struktur Administracji Publicznej.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Jeżeli JST nie zgada się z powołanymi przepisami prawa, prosimy aby zastosowano podstawy prawne akceptowane przez JST.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 xml:space="preserve">Pamiętajmy również o przepisach zawartych </w:t>
      </w:r>
      <w:proofErr w:type="spellStart"/>
      <w:r w:rsidRPr="00B04F12">
        <w:rPr>
          <w:rFonts w:ascii="Arial" w:hAnsi="Arial" w:cs="Arial"/>
          <w:sz w:val="20"/>
          <w:szCs w:val="20"/>
          <w:lang w:val="pl-PL"/>
        </w:rPr>
        <w:t>inter</w:t>
      </w:r>
      <w:proofErr w:type="spellEnd"/>
      <w:r w:rsidRPr="00B04F12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04F12">
        <w:rPr>
          <w:rFonts w:ascii="Arial" w:hAnsi="Arial" w:cs="Arial"/>
          <w:sz w:val="20"/>
          <w:szCs w:val="20"/>
          <w:lang w:val="pl-PL"/>
        </w:rPr>
        <w:t>alia</w:t>
      </w:r>
      <w:proofErr w:type="spellEnd"/>
      <w:r w:rsidRPr="00B04F12">
        <w:rPr>
          <w:rFonts w:ascii="Arial" w:hAnsi="Arial" w:cs="Arial"/>
          <w:sz w:val="20"/>
          <w:szCs w:val="20"/>
          <w:lang w:val="pl-PL"/>
        </w:rPr>
        <w:t xml:space="preserve">: </w:t>
      </w:r>
      <w:r w:rsidRPr="00B04F12">
        <w:rPr>
          <w:rFonts w:ascii="Arial" w:hAnsi="Arial" w:cs="Arial"/>
          <w:b/>
          <w:sz w:val="20"/>
          <w:szCs w:val="20"/>
          <w:lang w:val="pl-PL"/>
        </w:rPr>
        <w:t>w 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B04F12">
        <w:rPr>
          <w:rFonts w:ascii="Arial" w:hAnsi="Arial" w:cs="Arial"/>
          <w:sz w:val="20"/>
          <w:szCs w:val="20"/>
          <w:lang w:val="pl-PL"/>
        </w:rPr>
        <w:t xml:space="preserve">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 xml:space="preserve"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</w:t>
      </w:r>
      <w:r w:rsidRPr="00B04F12">
        <w:rPr>
          <w:rFonts w:ascii="Arial" w:hAnsi="Arial" w:cs="Arial"/>
          <w:sz w:val="20"/>
          <w:szCs w:val="20"/>
          <w:lang w:val="pl-PL"/>
        </w:rPr>
        <w:lastRenderedPageBreak/>
        <w:t>Internet: LBY-4101-09/2010]. Mamy nadzieję, zmienić powyższą ocenę, być może nasz wniosek choć w niewielkim stopniu – przyczyni się do zwiększenia tych wskaźników.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B04F12">
        <w:rPr>
          <w:rFonts w:ascii="Arial" w:hAnsi="Arial" w:cs="Arial"/>
          <w:sz w:val="20"/>
          <w:szCs w:val="20"/>
          <w:lang w:val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:rsidR="00B04F12" w:rsidRPr="00B04F12" w:rsidRDefault="00B04F12" w:rsidP="00941E8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</w:p>
    <w:p w:rsidR="00B04F12" w:rsidRPr="00B04F12" w:rsidRDefault="00B04F12" w:rsidP="00941E88">
      <w:pPr>
        <w:jc w:val="both"/>
        <w:rPr>
          <w:rFonts w:ascii="Arial" w:hAnsi="Arial" w:cs="Arial"/>
          <w:sz w:val="20"/>
          <w:szCs w:val="20"/>
        </w:rPr>
      </w:pPr>
    </w:p>
    <w:sectPr w:rsidR="00B04F12" w:rsidRPr="00B04F12" w:rsidSect="00B04F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B04F12"/>
    <w:rsid w:val="001678FD"/>
    <w:rsid w:val="005D164E"/>
    <w:rsid w:val="007E5AA2"/>
    <w:rsid w:val="00941E88"/>
    <w:rsid w:val="00B04F12"/>
    <w:rsid w:val="00B825D9"/>
    <w:rsid w:val="00BB4E65"/>
    <w:rsid w:val="00D1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1788</Words>
  <Characters>10731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Raf</cp:lastModifiedBy>
  <cp:revision>2</cp:revision>
  <dcterms:created xsi:type="dcterms:W3CDTF">2017-02-24T19:54:00Z</dcterms:created>
  <dcterms:modified xsi:type="dcterms:W3CDTF">2017-02-24T19:54:00Z</dcterms:modified>
</cp:coreProperties>
</file>