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Pr>
      </w:pPr>
      <w:r>
        <w:rPr>
          <w:b/>
        </w:rPr>
        <w:tab/>
        <w:tab/>
        <w:tab/>
        <w:tab/>
        <w:tab/>
        <w:tab/>
        <w:tab/>
        <w:tab/>
        <w:tab/>
        <w:t>Poręba, dnia 29.11.2016r.</w:t>
      </w:r>
    </w:p>
    <w:p>
      <w:pPr>
        <w:pStyle w:val="Normal"/>
        <w:jc w:val="both"/>
        <w:rPr>
          <w:b/>
          <w:b/>
        </w:rPr>
      </w:pPr>
      <w:r>
        <w:rPr>
          <w:b/>
        </w:rPr>
      </w:r>
    </w:p>
    <w:p>
      <w:pPr>
        <w:pStyle w:val="Normal"/>
        <w:spacing w:lineRule="auto" w:line="240"/>
        <w:jc w:val="both"/>
        <w:rPr>
          <w:b/>
          <w:b/>
        </w:rPr>
      </w:pPr>
      <w:r>
        <w:rPr>
          <w:b/>
        </w:rPr>
        <w:tab/>
        <w:tab/>
        <w:tab/>
        <w:tab/>
        <w:tab/>
        <w:tab/>
        <w:tab/>
        <w:tab/>
        <w:t>Radny</w:t>
      </w:r>
    </w:p>
    <w:p>
      <w:pPr>
        <w:pStyle w:val="Normal"/>
        <w:spacing w:lineRule="auto" w:line="240"/>
        <w:ind w:left="4956" w:firstLine="708"/>
        <w:jc w:val="both"/>
        <w:rPr>
          <w:b/>
          <w:b/>
        </w:rPr>
      </w:pPr>
      <w:r>
        <w:rPr>
          <w:b/>
        </w:rPr>
        <w:t>Tomasz Cebula</w:t>
      </w:r>
    </w:p>
    <w:p>
      <w:pPr>
        <w:pStyle w:val="Normal"/>
        <w:jc w:val="both"/>
        <w:rPr>
          <w:b/>
          <w:b/>
          <w:u w:val="single"/>
        </w:rPr>
      </w:pPr>
      <w:r>
        <w:rPr>
          <w:b/>
          <w:u w:val="single"/>
        </w:rPr>
      </w:r>
    </w:p>
    <w:p>
      <w:pPr>
        <w:pStyle w:val="Normal"/>
        <w:jc w:val="both"/>
        <w:rPr>
          <w:b/>
          <w:b/>
          <w:u w:val="single"/>
        </w:rPr>
      </w:pPr>
      <w:r>
        <w:rPr>
          <w:b/>
          <w:u w:val="single"/>
        </w:rPr>
      </w:r>
    </w:p>
    <w:p>
      <w:pPr>
        <w:pStyle w:val="Normal"/>
        <w:jc w:val="both"/>
        <w:rPr>
          <w:b/>
          <w:b/>
          <w:u w:val="single"/>
        </w:rPr>
      </w:pPr>
      <w:bookmarkStart w:id="0" w:name="_GoBack"/>
      <w:bookmarkEnd w:id="0"/>
      <w:r>
        <w:rPr>
          <w:b/>
          <w:u w:val="single"/>
        </w:rPr>
        <w:t>uzupełnienie do interpelacji z XXXI sesji Rady Miasta</w:t>
      </w:r>
    </w:p>
    <w:p>
      <w:pPr>
        <w:pStyle w:val="Normal"/>
        <w:jc w:val="both"/>
        <w:rPr/>
      </w:pPr>
      <w:r>
        <w:rPr/>
        <w:t xml:space="preserve">Ad.1 </w:t>
      </w:r>
    </w:p>
    <w:p>
      <w:pPr>
        <w:pStyle w:val="Normal"/>
        <w:jc w:val="both"/>
        <w:rPr/>
      </w:pPr>
      <w:r>
        <w:rPr/>
        <w:t>Procedurę przygotowań do emisji obligacji dla Gminy Poręba  Pani Skarbnik przygotowała sama. Miasto nie wynajmowało do tego celu żadnej  firmy zewnętrznej. Jedynym  kosztem emisji obligacji była zapłata dla Domu maklerskiego Noble Securities z siedzibą w Warszawie , w wysokości 29 500,00 zł  z tytułu przygotowania dokumentacji potrzebnej do emisji obligacji, prowadzenia ewidencji obligacji oraz wykonywania  funkcji agenta ds.płatności. Efektem realizacji założeń  Programu Postepowania Naprawczego jest dodatni stan konta bankowego, bark deficytu budżetowego oraz terminowe regulowanie wszystkich zobowiązań związanych z działalnością Gminy.</w:t>
      </w:r>
    </w:p>
    <w:p>
      <w:pPr>
        <w:pStyle w:val="Normal"/>
        <w:jc w:val="both"/>
        <w:rPr/>
      </w:pPr>
      <w:r>
        <w:rPr/>
        <w:t>Ad.2</w:t>
      </w:r>
    </w:p>
    <w:p>
      <w:pPr>
        <w:pStyle w:val="Normal"/>
        <w:jc w:val="both"/>
        <w:rPr/>
      </w:pPr>
      <w:r>
        <w:rPr/>
        <w:t>Jeżeli miał miejsce wzrost wynagrodzeń to tylko z racji zwiększenia dodatkowych obowiązków pracowniczych co wynikało ze zmian w przepisach prawa np. ABI-zgodnie z ustawą.</w:t>
      </w:r>
    </w:p>
    <w:p>
      <w:pPr>
        <w:pStyle w:val="Normal"/>
        <w:jc w:val="both"/>
        <w:rPr/>
      </w:pPr>
      <w:r>
        <w:rPr/>
        <w:t>Rok 2015 obfitował szeregiem zmniejszeń wynagrodzeń np. poprzez likwidację dodatku specjalnego przyznanego jeszcze przez poprzedniego Burmistrza Miasta Poręba. Szczegółowe informacje na temat wynagrodzeń pracowników powodowałyby naruszenie ustawy o ochronie danych osobowych i wykraczałyby poza  moje kompetencje.</w:t>
      </w:r>
    </w:p>
    <w:p>
      <w:pPr>
        <w:pStyle w:val="Normal"/>
        <w:jc w:val="both"/>
        <w:rPr/>
      </w:pPr>
      <w:r>
        <w:rPr/>
        <w:t>Ad.3</w:t>
      </w:r>
    </w:p>
    <w:p>
      <w:pPr>
        <w:pStyle w:val="Normal"/>
        <w:jc w:val="both"/>
        <w:rPr>
          <w:b/>
          <w:b/>
          <w:u w:val="single"/>
        </w:rPr>
      </w:pPr>
      <w:r>
        <w:rPr>
          <w:b/>
          <w:u w:val="single"/>
        </w:rPr>
        <w:t>Rok 2010</w:t>
      </w:r>
    </w:p>
    <w:p>
      <w:pPr>
        <w:pStyle w:val="ListParagraph"/>
        <w:numPr>
          <w:ilvl w:val="0"/>
          <w:numId w:val="1"/>
        </w:numPr>
        <w:rPr>
          <w:b/>
          <w:b/>
        </w:rPr>
      </w:pPr>
      <w:r>
        <w:rPr/>
        <w:t xml:space="preserve">Termomodernizacja SP nr 3 w roku 2010 w wysokości </w:t>
      </w:r>
      <w:r>
        <w:rPr>
          <w:b/>
        </w:rPr>
        <w:t xml:space="preserve"> 517 694,66 zł.</w:t>
      </w:r>
    </w:p>
    <w:p>
      <w:pPr>
        <w:pStyle w:val="ListParagraph"/>
        <w:rPr/>
      </w:pPr>
      <w:r>
        <w:rPr/>
        <w:t>- zaciągnięta pożyczka w Wojewódzkim Funduszu Ochrony środowiska w Katowicach w kwocie 175.561,00 zł na lata 2010-2019 , oprocentowanie  w dniu podpisania umowy wynosiło 3,15% w stosunku rocznym.</w:t>
      </w:r>
    </w:p>
    <w:p>
      <w:pPr>
        <w:pStyle w:val="ListParagraph"/>
        <w:rPr/>
      </w:pPr>
      <w:r>
        <w:rPr/>
        <w:t>- dotacja z WFOŚ i GW Katowice kwota 60.039,00 zł</w:t>
      </w:r>
    </w:p>
    <w:p>
      <w:pPr>
        <w:pStyle w:val="ListParagraph"/>
        <w:numPr>
          <w:ilvl w:val="0"/>
          <w:numId w:val="1"/>
        </w:numPr>
        <w:rPr>
          <w:b/>
          <w:b/>
        </w:rPr>
      </w:pPr>
      <w:r>
        <w:rPr/>
        <w:t>Modernizacja i osprzętowanie SPZOZ w roku 2010 w wysokości</w:t>
      </w:r>
      <w:r>
        <w:rPr>
          <w:b/>
        </w:rPr>
        <w:t xml:space="preserve"> 305 105,22 zł</w:t>
      </w:r>
    </w:p>
    <w:p>
      <w:pPr>
        <w:pStyle w:val="ListParagraph"/>
        <w:rPr/>
      </w:pPr>
      <w:r>
        <w:rPr/>
        <w:t>- dofinansowanie Europejski Fundusz/Urząd marszałkowski kwota 209.015,60 zł</w:t>
      </w:r>
    </w:p>
    <w:p>
      <w:pPr>
        <w:pStyle w:val="ListParagraph"/>
        <w:rPr/>
      </w:pPr>
      <w:r>
        <w:rPr/>
      </w:r>
    </w:p>
    <w:p>
      <w:pPr>
        <w:pStyle w:val="ListParagraph"/>
        <w:numPr>
          <w:ilvl w:val="0"/>
          <w:numId w:val="1"/>
        </w:numPr>
        <w:rPr>
          <w:b/>
          <w:b/>
        </w:rPr>
      </w:pPr>
      <w:r>
        <w:rPr/>
        <w:t xml:space="preserve">Hala widowiskowo-sportowa w roku 2010 w wysokości  </w:t>
      </w:r>
      <w:r>
        <w:rPr>
          <w:b/>
        </w:rPr>
        <w:t>7 669 324,00 zł.</w:t>
      </w:r>
    </w:p>
    <w:p>
      <w:pPr>
        <w:pStyle w:val="ListParagraph"/>
        <w:rPr/>
      </w:pPr>
      <w:r>
        <w:rPr/>
        <w:t>- dofinansowanie z Ministerstwa Sportu i Turystyki w Warszawie- 1.860.000,00</w:t>
      </w:r>
    </w:p>
    <w:p>
      <w:pPr>
        <w:pStyle w:val="ListParagraph"/>
        <w:rPr/>
      </w:pPr>
      <w:r>
        <w:rPr/>
        <w:t xml:space="preserve">- zaciągnięto kredyt inwestycyjny w Banku Gospodarstwa Krajowego w Warszawie w wysokości </w:t>
      </w:r>
      <w:r>
        <w:rPr>
          <w:b/>
        </w:rPr>
        <w:t>2.750.000,00 zł</w:t>
      </w:r>
      <w:r>
        <w:rPr/>
        <w:t xml:space="preserve">  na lata 2008-2021 , oprocentowanie w dniu podpisania umowy wynosiło6,61 % w stosunku rocznym  , a od zadłużenia przeterminowanego 13,92% w stosunku rocznym.</w:t>
      </w:r>
    </w:p>
    <w:p>
      <w:pPr>
        <w:pStyle w:val="ListParagraph"/>
        <w:rPr/>
      </w:pPr>
      <w:r>
        <w:rPr/>
        <w:t xml:space="preserve">- zaciągnięto kredyt inwestycyjny ze środków Europejskiego Banku Inwestycyjnego w Banku Gospodarstwa Krajowego w Warszawie na kwotę </w:t>
      </w:r>
      <w:r>
        <w:rPr>
          <w:b/>
        </w:rPr>
        <w:t xml:space="preserve">2.705.000,00 </w:t>
      </w:r>
      <w:r>
        <w:rPr/>
        <w:t>zł na lata 2008-2021.Oprocentowanie w dniu podpisania umowy wynosiło 6,73% w stosunku rocznym, a od zadłużenia przeterminowanego 13,46% w stosunku rocznym.</w:t>
      </w:r>
    </w:p>
    <w:p>
      <w:pPr>
        <w:pStyle w:val="ListParagraph"/>
        <w:rPr/>
      </w:pPr>
      <w:r>
        <w:rPr/>
      </w:r>
    </w:p>
    <w:p>
      <w:pPr>
        <w:pStyle w:val="ListParagraph"/>
        <w:rPr>
          <w:b/>
          <w:b/>
        </w:rPr>
      </w:pPr>
      <w:r>
        <w:rPr>
          <w:b/>
        </w:rPr>
      </w:r>
    </w:p>
    <w:p>
      <w:pPr>
        <w:pStyle w:val="ListParagraph"/>
        <w:numPr>
          <w:ilvl w:val="0"/>
          <w:numId w:val="1"/>
        </w:numPr>
        <w:rPr>
          <w:b/>
          <w:b/>
        </w:rPr>
      </w:pPr>
      <w:r>
        <w:rPr/>
        <w:t>Nagłośnienie hali widowiskowo-sportowej w roku 2010 w</w:t>
      </w:r>
      <w:r>
        <w:rPr>
          <w:b/>
        </w:rPr>
        <w:t xml:space="preserve"> </w:t>
      </w:r>
      <w:r>
        <w:rPr/>
        <w:t>wysokości</w:t>
      </w:r>
      <w:r>
        <w:rPr>
          <w:b/>
        </w:rPr>
        <w:t xml:space="preserve"> 34 000,00 zł.</w:t>
      </w:r>
    </w:p>
    <w:p>
      <w:pPr>
        <w:pStyle w:val="ListParagraph"/>
        <w:numPr>
          <w:ilvl w:val="0"/>
          <w:numId w:val="1"/>
        </w:numPr>
        <w:rPr>
          <w:b/>
          <w:b/>
        </w:rPr>
      </w:pPr>
      <w:r>
        <w:rPr/>
        <w:t>Umeblowanie hali widowiskowo-sportowej w roku 2010 w wysokości</w:t>
      </w:r>
      <w:r>
        <w:rPr>
          <w:b/>
        </w:rPr>
        <w:t xml:space="preserve"> 92 718,62 zł.</w:t>
      </w:r>
    </w:p>
    <w:p>
      <w:pPr>
        <w:pStyle w:val="ListParagraph"/>
        <w:numPr>
          <w:ilvl w:val="0"/>
          <w:numId w:val="1"/>
        </w:numPr>
        <w:rPr/>
      </w:pPr>
      <w:r>
        <w:rPr/>
        <w:t xml:space="preserve">Motopompa pływająca dla straży w roku 2010 w wysokości </w:t>
      </w:r>
      <w:r>
        <w:rPr>
          <w:b/>
        </w:rPr>
        <w:t>5 029,00 zł.</w:t>
      </w:r>
    </w:p>
    <w:p>
      <w:pPr>
        <w:pStyle w:val="ListParagraph"/>
        <w:numPr>
          <w:ilvl w:val="0"/>
          <w:numId w:val="1"/>
        </w:numPr>
        <w:rPr/>
      </w:pPr>
      <w:r>
        <w:rPr/>
        <w:t>Przygotowanie terenu pod budowę garaży w roku 2010 w wysokości</w:t>
      </w:r>
      <w:r>
        <w:rPr>
          <w:b/>
        </w:rPr>
        <w:t xml:space="preserve"> 65 844,46 zł.</w:t>
      </w:r>
    </w:p>
    <w:p>
      <w:pPr>
        <w:pStyle w:val="ListParagraph"/>
        <w:numPr>
          <w:ilvl w:val="0"/>
          <w:numId w:val="1"/>
        </w:numPr>
        <w:rPr/>
      </w:pPr>
      <w:r>
        <w:rPr/>
        <w:t>Przebudowa odwodnienia przy ul. Baśniowej w roku 2010 w wyso</w:t>
      </w:r>
      <w:r>
        <w:rPr>
          <w:b/>
        </w:rPr>
        <w:t>kości 158 373,66 zł.</w:t>
      </w:r>
    </w:p>
    <w:p>
      <w:pPr>
        <w:pStyle w:val="ListParagraph"/>
        <w:numPr>
          <w:ilvl w:val="0"/>
          <w:numId w:val="1"/>
        </w:numPr>
        <w:rPr/>
      </w:pPr>
      <w:r>
        <w:rPr/>
        <w:t xml:space="preserve">Oprogramowanie w tym mobilny terminal dla MPWiK w roku 2010 w wysokości </w:t>
      </w:r>
      <w:r>
        <w:rPr>
          <w:b/>
        </w:rPr>
        <w:t>17 859,58 zł</w:t>
      </w:r>
    </w:p>
    <w:p>
      <w:pPr>
        <w:pStyle w:val="Normal"/>
        <w:jc w:val="both"/>
        <w:rPr>
          <w:b/>
          <w:b/>
        </w:rPr>
      </w:pPr>
      <w:r>
        <w:rPr>
          <w:b/>
        </w:rPr>
      </w:r>
    </w:p>
    <w:p>
      <w:pPr>
        <w:pStyle w:val="Normal"/>
        <w:jc w:val="both"/>
        <w:rPr>
          <w:b/>
          <w:b/>
          <w:u w:val="single"/>
        </w:rPr>
      </w:pPr>
      <w:r>
        <w:rPr>
          <w:b/>
          <w:u w:val="single"/>
        </w:rPr>
        <w:t>Rok 2011</w:t>
      </w:r>
    </w:p>
    <w:p>
      <w:pPr>
        <w:pStyle w:val="Normal"/>
        <w:jc w:val="both"/>
        <w:rPr/>
      </w:pPr>
      <w:r>
        <w:rPr/>
        <w:t>1.Boisko „ORLIK”- Koszt inwestycji 1 454 573,53 zł z tego:</w:t>
      </w:r>
    </w:p>
    <w:p>
      <w:pPr>
        <w:pStyle w:val="Normal"/>
        <w:jc w:val="both"/>
        <w:rPr/>
      </w:pPr>
      <w:r>
        <w:rPr/>
        <w:t xml:space="preserve">- 788.573,53zł - środki własne Miasta </w:t>
      </w:r>
    </w:p>
    <w:p>
      <w:pPr>
        <w:pStyle w:val="Normal"/>
        <w:jc w:val="both"/>
        <w:rPr/>
      </w:pPr>
      <w:r>
        <w:rPr/>
        <w:t>–</w:t>
      </w:r>
      <w:r>
        <w:rPr/>
        <w:t>zaciągnięty kredyt w kwocie 740.800,00 zł w Międzypowiatowym Banku Spółdzielczym w Myszkowie na lata 2011-2016 . W dniu podpisania umowy odsetki w stosunku rocznym wynosiły 6,65 % , a od zadłużenia przeterminowanego , które miało miejsce w roku 2014 - 20% w stosunku rocznym.</w:t>
      </w:r>
    </w:p>
    <w:p>
      <w:pPr>
        <w:pStyle w:val="Normal"/>
        <w:jc w:val="both"/>
        <w:rPr/>
      </w:pPr>
      <w:r>
        <w:rPr/>
        <w:t>-333.000,00 środki z Urzędu marszałkowskiego Województwa śląskiego</w:t>
      </w:r>
    </w:p>
    <w:p>
      <w:pPr>
        <w:pStyle w:val="Normal"/>
        <w:jc w:val="both"/>
        <w:rPr/>
      </w:pPr>
      <w:r>
        <w:rPr/>
        <w:t>-333.000,00 środki z budżetu Państwa</w:t>
      </w:r>
    </w:p>
    <w:p>
      <w:pPr>
        <w:pStyle w:val="Normal"/>
        <w:jc w:val="both"/>
        <w:rPr>
          <w:b/>
          <w:b/>
        </w:rPr>
      </w:pPr>
      <w:r>
        <w:rPr>
          <w:b/>
        </w:rPr>
      </w:r>
    </w:p>
    <w:p>
      <w:pPr>
        <w:pStyle w:val="Normal"/>
        <w:jc w:val="both"/>
        <w:rPr/>
      </w:pPr>
      <w:r>
        <w:rPr/>
        <w:t xml:space="preserve">2.Chodnik z kostki brukowej wzdłuż ul. Zakładowej (od ul. Orzechowej do ul. Zakładowej)w roku 2011 w wysokości  </w:t>
      </w:r>
      <w:r>
        <w:rPr>
          <w:b/>
        </w:rPr>
        <w:t>60 878,05 zł.</w:t>
      </w:r>
    </w:p>
    <w:p>
      <w:pPr>
        <w:pStyle w:val="Normal"/>
        <w:jc w:val="both"/>
        <w:rPr/>
      </w:pPr>
      <w:r>
        <w:rPr/>
        <w:t>3.Budowa ciągu pieszo-jezdnego wraz z kanalizacją deszczową ul. Kryniczna w roku 2011 w wysokości</w:t>
      </w:r>
      <w:r>
        <w:rPr>
          <w:b/>
        </w:rPr>
        <w:t xml:space="preserve"> 320 313,38 zł.</w:t>
      </w:r>
    </w:p>
    <w:p>
      <w:pPr>
        <w:pStyle w:val="Normal"/>
        <w:jc w:val="both"/>
        <w:rPr>
          <w:b/>
          <w:b/>
        </w:rPr>
      </w:pPr>
      <w:r>
        <w:rPr/>
        <w:t xml:space="preserve">4.Sieć tras rowerowych dla centralnej części Jury Krakowsko-Częstochowskiej - w roku 2011 w wysokości </w:t>
      </w:r>
      <w:r>
        <w:rPr>
          <w:b/>
        </w:rPr>
        <w:t xml:space="preserve">142 752,53 zł. </w:t>
      </w:r>
    </w:p>
    <w:p>
      <w:pPr>
        <w:pStyle w:val="Normal"/>
        <w:jc w:val="both"/>
        <w:rPr/>
      </w:pPr>
      <w:r>
        <w:rPr/>
        <w:t>- dofinansowanie EFRR/Ministerstwo Finansów kwota 91.608,35 zł</w:t>
      </w:r>
    </w:p>
    <w:p>
      <w:pPr>
        <w:pStyle w:val="Normal"/>
        <w:jc w:val="both"/>
        <w:rPr>
          <w:b/>
          <w:b/>
        </w:rPr>
      </w:pPr>
      <w:r>
        <w:rPr>
          <w:b/>
        </w:rPr>
        <w:t>W roku 2011 zł zaciągnięto również kredyt długoterminowy w kwocie 2.506.000,00 zł w Banku  Polskiej Spółdzielczości SA w Sosnowcu na  lata 2011-2027 .Oprocentowanie kredytu w dniu podpisania umowy wynosiło 7.06% w stosunku rocznym, a od zadłużenia przeterminowanego 24 % w stosunku rocznym.</w:t>
      </w:r>
    </w:p>
    <w:p>
      <w:pPr>
        <w:pStyle w:val="Normal"/>
        <w:jc w:val="both"/>
        <w:rPr>
          <w:b/>
          <w:b/>
          <w:u w:val="single"/>
        </w:rPr>
      </w:pPr>
      <w:r>
        <w:rPr>
          <w:b/>
          <w:u w:val="single"/>
        </w:rPr>
        <w:t>Rok 2013</w:t>
      </w:r>
    </w:p>
    <w:p>
      <w:pPr>
        <w:pStyle w:val="Normal"/>
        <w:jc w:val="both"/>
        <w:rPr>
          <w:b/>
          <w:b/>
        </w:rPr>
      </w:pPr>
      <w:r>
        <w:rPr/>
        <w:t xml:space="preserve">1.Termomodernizacja Miejskiego Zespołu Szkół w Porębie w roku 2013 w wysokości </w:t>
      </w:r>
      <w:r>
        <w:rPr>
          <w:b/>
        </w:rPr>
        <w:t>1 212 717,83 zł.</w:t>
      </w:r>
    </w:p>
    <w:p>
      <w:pPr>
        <w:pStyle w:val="Normal"/>
        <w:jc w:val="both"/>
        <w:rPr/>
      </w:pPr>
      <w:r>
        <w:rPr/>
        <w:t>- dotacja WFOŚ i GW Katowice kwota 182.771,00 zł</w:t>
      </w:r>
    </w:p>
    <w:p>
      <w:pPr>
        <w:pStyle w:val="Normal"/>
        <w:jc w:val="both"/>
        <w:rPr>
          <w:b/>
          <w:b/>
          <w:u w:val="single"/>
        </w:rPr>
      </w:pPr>
      <w:r>
        <w:rPr>
          <w:b/>
          <w:u w:val="single"/>
        </w:rPr>
        <w:t>Rok 2014</w:t>
      </w:r>
    </w:p>
    <w:p>
      <w:pPr>
        <w:pStyle w:val="Normal"/>
        <w:jc w:val="both"/>
        <w:rPr/>
      </w:pPr>
      <w:r>
        <w:rPr/>
        <w:t xml:space="preserve">1.Wiata przystankowa ul. LWP koło Starego Zakładu - 2014 rok -w wysokości </w:t>
      </w:r>
      <w:r>
        <w:rPr>
          <w:b/>
        </w:rPr>
        <w:t>4 810,73 zł.</w:t>
      </w:r>
    </w:p>
    <w:p>
      <w:pPr>
        <w:pStyle w:val="Normal"/>
        <w:jc w:val="both"/>
        <w:rPr/>
      </w:pPr>
      <w:r>
        <w:rPr/>
        <w:t xml:space="preserve">2.Fragment nawierzchni ul. Modrzewiowa - w roku 2014 w wysokości </w:t>
      </w:r>
      <w:r>
        <w:rPr>
          <w:b/>
        </w:rPr>
        <w:t>39 054,96 zł.</w:t>
      </w:r>
    </w:p>
    <w:p>
      <w:pPr>
        <w:pStyle w:val="Normal"/>
        <w:jc w:val="both"/>
        <w:rPr>
          <w:b/>
          <w:b/>
        </w:rPr>
      </w:pPr>
      <w:r>
        <w:rPr/>
        <w:t xml:space="preserve">3.Dwa zestawy komputerowe do referatu finansowego w roku 2014 w cenie </w:t>
      </w:r>
      <w:r>
        <w:rPr>
          <w:b/>
        </w:rPr>
        <w:t>8 411,98 zł</w:t>
      </w:r>
    </w:p>
    <w:p>
      <w:pPr>
        <w:pStyle w:val="Normal"/>
        <w:jc w:val="both"/>
        <w:rPr/>
      </w:pPr>
      <w:r>
        <w:rPr/>
        <w:t>4. Koszty związane z przygotowaniem dokumentacji do wykonania termomodernizacji MOK i SPZOZ – 57.700,03 zł</w:t>
      </w:r>
    </w:p>
    <w:p>
      <w:pPr>
        <w:pStyle w:val="Normal"/>
        <w:ind w:left="142" w:hanging="0"/>
        <w:jc w:val="both"/>
        <w:rPr>
          <w:u w:val="single"/>
        </w:rPr>
      </w:pPr>
      <w:r>
        <w:rPr>
          <w:u w:val="single"/>
        </w:rPr>
      </w:r>
    </w:p>
    <w:p>
      <w:pPr>
        <w:pStyle w:val="Normal"/>
        <w:jc w:val="both"/>
        <w:rPr>
          <w:b/>
          <w:b/>
          <w:u w:val="single"/>
        </w:rPr>
      </w:pPr>
      <w:r>
        <w:rPr>
          <w:b/>
          <w:u w:val="single"/>
        </w:rPr>
        <w:t>Rok 2015</w:t>
      </w:r>
    </w:p>
    <w:p>
      <w:pPr>
        <w:pStyle w:val="Normal"/>
        <w:jc w:val="both"/>
        <w:rPr/>
      </w:pPr>
      <w:r>
        <w:rPr/>
      </w:r>
    </w:p>
    <w:p>
      <w:pPr>
        <w:pStyle w:val="Normal"/>
        <w:jc w:val="both"/>
        <w:rPr>
          <w:rFonts w:cs="Times New Roman"/>
        </w:rPr>
      </w:pPr>
      <w:r>
        <w:rPr>
          <w:rFonts w:cs="Times New Roman"/>
        </w:rPr>
        <w:t xml:space="preserve">1.Termomodernizacja budynku wielofunkcyjnego MOK I SPZOZ kwota -  1.131.779,15  z czego kwota dofinansowania z Narodowego Funduszu Ochrony Środowiska w  Warszawie  to tylko 306 450,85zł  , a pozostałą część inwestycji </w:t>
      </w:r>
      <w:r>
        <w:rPr>
          <w:rFonts w:cs="Times New Roman"/>
          <w:b/>
        </w:rPr>
        <w:t>825.328,30 zł</w:t>
      </w:r>
      <w:r>
        <w:rPr>
          <w:rFonts w:cs="Times New Roman"/>
        </w:rPr>
        <w:t xml:space="preserve"> Gmina  pokryła z własnych  środków . </w:t>
      </w:r>
    </w:p>
    <w:p>
      <w:pPr>
        <w:pStyle w:val="Normal"/>
        <w:jc w:val="both"/>
        <w:rPr>
          <w:rFonts w:cs="Times New Roman"/>
        </w:rPr>
      </w:pPr>
      <w:r>
        <w:rPr>
          <w:rFonts w:cs="Times New Roman"/>
        </w:rPr>
        <w:tab/>
      </w:r>
    </w:p>
    <w:p>
      <w:pPr>
        <w:pStyle w:val="Normal"/>
        <w:jc w:val="both"/>
        <w:rPr>
          <w:rFonts w:cs="Times New Roman"/>
          <w:u w:val="single"/>
        </w:rPr>
      </w:pPr>
      <w:r>
        <w:rPr>
          <w:rFonts w:cs="Times New Roman"/>
          <w:u w:val="single"/>
        </w:rPr>
      </w:r>
    </w:p>
    <w:p>
      <w:pPr>
        <w:pStyle w:val="Normal"/>
        <w:jc w:val="both"/>
        <w:rPr>
          <w:rFonts w:cs="Times New Roman"/>
          <w:b/>
          <w:b/>
          <w:u w:val="single"/>
        </w:rPr>
      </w:pPr>
      <w:r>
        <w:rPr>
          <w:rFonts w:cs="Times New Roman"/>
          <w:b/>
          <w:u w:val="single"/>
        </w:rPr>
        <w:t>Rok 2016</w:t>
      </w:r>
    </w:p>
    <w:p>
      <w:pPr>
        <w:pStyle w:val="Textbody"/>
        <w:spacing w:lineRule="auto" w:line="360"/>
        <w:ind w:firstLine="708"/>
        <w:jc w:val="both"/>
        <w:rPr>
          <w:rFonts w:ascii="Calibri" w:hAnsi="Calibri" w:cs="Calibri" w:asciiTheme="minorHAnsi" w:cstheme="minorHAnsi" w:hAnsiTheme="minorHAnsi"/>
          <w:sz w:val="22"/>
          <w:szCs w:val="22"/>
        </w:rPr>
      </w:pPr>
      <w:r>
        <w:rPr>
          <w:rFonts w:cs="Times New Roman" w:ascii="Calibri" w:hAnsi="Calibri" w:asciiTheme="minorHAnsi" w:hAnsiTheme="minorHAnsi"/>
          <w:sz w:val="22"/>
          <w:szCs w:val="22"/>
        </w:rPr>
        <w:t>W związku z wprowadzeniem w Gminie Poręba Programu Postepowania Naprawczego na lata 2016-2018, który ma na celu  odzyskanie płynności finansowej Miasta i spłacenia długów z lat poprzednich, Gmina nie mogła dokonać żadnych większych inwestycji poza bieżącymi wydatkami, które zostały między innymi przeznaczone na bieżące remonty i zakupy związane z utrzymaniem ciągłości pracy urzędu i podległych mu Jednostek .Jedynym zakupem inwestycyjnym był zakup serwera do Urzędu Miasta za kwotę 29.950,50 zł.</w:t>
      </w:r>
      <w:r>
        <w:rPr>
          <w:rFonts w:cs="Calibri" w:ascii="Calibri" w:hAnsi="Calibri" w:asciiTheme="minorHAnsi" w:cstheme="minorHAnsi" w:hAnsiTheme="minorHAnsi"/>
          <w:sz w:val="22"/>
          <w:szCs w:val="22"/>
        </w:rPr>
        <w:t xml:space="preserve"> Na uwagę zasługuje fakt, że w roku bieżącym Miasto nie zalega nauczycielom ani pozostałym pracownikom szkół i przedszkola wypłat z tytułu wynagrodzeń ani odpisu na Zakładowy Fundusz Świadczeń Socjalnych. Środki zostały przekazane do szkół w 100%. Obecna sytuacja finansowa Miasta jest bardzo dobra porównując do lat ubiegłych. Dowodem na to jest kolejna pozytywna opinia Regionalnej Izby Obrachunkowej w Katowicach z wykonania budżetu za I Półrocze 2016 roku. Pomimo braku środków na inwestycje, w ciągu ostatnich  dwóch lat starałem się wygenerowanych oszczędności przeprowadzać remonty i naprawy, które wymagały natychmiastowej interwencji. Na wniosek mieszkańców została zmieniona struktura obsługi kasowej w mieście, został wyremontowany  Urząd Stanu Cywilnego, sekretariat  ,odnowiony znak „PORĘBA”, wymieniony ciepłociąg na odcinku Urząd Miasta –Miejski Zespół Szkół ,została zcentralizowana księgowość w budynku Chopina 1, wraz z nową siecią informatyczną, zakupiono nowe komputery do UM wraz z nowymi programami operacyjnymi. Po wielu latach bezskutecznej próby wdrożenia systemu księgowości komputerowej ,został uruchomiony centralny system finansowo-księgowy wraz z modułami (podatki, gospodarka śmieciowa, gospodarka nieruchomościami) Zakupiono również nowe urządzenia monitorujące sieci internetowe , centralny serwer do archiwizacji danych, odnowiono archiwum znajdujące się w MOK, zgodnie z ustawowymi wymogami, zakupiono nowe laptopy dla uczniów Miejskiego Zespołu Szkół w Porębie, zakupiono meble do nowej pracowni językowej w MZS, oraz wykonano szereg innych prac usprawniających życie w naszym mieście. Dzięki radykalnym cięciom wydatków bieżących mogliśmy od lipca br. uruchomić lokalny transport specjalny, którego założeniem jest dowóz uczniów i osób starszych z dzielnic Poręby (Krawce, Dziechciarze, Kierszula) do Centrum Miasta. W bieżącym roku wykonaliśmy również  szereg prac porządkowych polegających na wycince zbędnych drzew, krzewów, odchwaszczeniu ulic i chodników oraz przeprowadziliśmy remont wiaty śmietnikowej na ul. LWP w części należącej do gminy. </w:t>
      </w:r>
      <w:r>
        <w:rPr>
          <w:rFonts w:cs="Calibri" w:ascii="Calibri" w:hAnsi="Calibri" w:asciiTheme="minorHAnsi" w:cstheme="minorHAnsi" w:hAnsiTheme="minorHAnsi"/>
          <w:b/>
          <w:i/>
          <w:sz w:val="22"/>
          <w:szCs w:val="22"/>
        </w:rPr>
        <w:t>W  nowym roku budżetowym  jesteśmy gotowi do rozpoczęcia prac inwestycyjnych, które przyczynią się do poprawy komfortu  Waszego życia w Porębie.</w:t>
      </w:r>
    </w:p>
    <w:p>
      <w:pPr>
        <w:pStyle w:val="Normal"/>
        <w:jc w:val="both"/>
        <w:rPr>
          <w:rFonts w:cs="Times New Roman"/>
          <w:b/>
          <w:b/>
        </w:rPr>
      </w:pPr>
      <w:r>
        <w:rPr>
          <w:rFonts w:cs="Times New Roman"/>
          <w:b w:val="false"/>
          <w:bCs w:val="false"/>
        </w:rPr>
        <w:t>Ad.4</w:t>
      </w:r>
    </w:p>
    <w:p>
      <w:pPr>
        <w:pStyle w:val="Normal"/>
        <w:jc w:val="both"/>
        <w:rPr>
          <w:rFonts w:cs="Times New Roman"/>
        </w:rPr>
      </w:pPr>
      <w:r>
        <w:rPr>
          <w:rFonts w:cs="Times New Roman"/>
        </w:rPr>
        <w:t>W roku 2015 i 2016  Burmistrz Miasta Poręba  nie dokonał umorzeń z tytułu  należnych podatków od przedsiębiorców i osób prawnych.</w:t>
      </w:r>
    </w:p>
    <w:p>
      <w:pPr>
        <w:pStyle w:val="Normal"/>
        <w:jc w:val="both"/>
        <w:rPr>
          <w:b/>
          <w:b/>
        </w:rPr>
      </w:pPr>
      <w:r>
        <w:rPr>
          <w:b w:val="false"/>
          <w:bCs w:val="false"/>
        </w:rPr>
        <w:t>Ad.5</w:t>
      </w:r>
    </w:p>
    <w:p>
      <w:pPr>
        <w:pStyle w:val="Normal"/>
        <w:jc w:val="both"/>
        <w:rPr/>
      </w:pPr>
      <w:r>
        <w:rPr/>
        <w:t>Na dzień 30-11-2016 Miasto nie posiada deficytu budżetowego.</w:t>
      </w:r>
    </w:p>
    <w:p>
      <w:pPr>
        <w:pStyle w:val="Normal"/>
        <w:jc w:val="both"/>
        <w:rPr>
          <w:b/>
          <w:b/>
        </w:rPr>
      </w:pPr>
      <w:r>
        <w:rPr>
          <w:b w:val="false"/>
          <w:bCs w:val="false"/>
        </w:rPr>
        <w:t>Ad.6</w:t>
      </w:r>
    </w:p>
    <w:p>
      <w:pPr>
        <w:pStyle w:val="Normal"/>
        <w:jc w:val="both"/>
        <w:rPr/>
      </w:pPr>
      <w:r>
        <w:rPr/>
        <w:t xml:space="preserve">W bieżącym roku obrotowym Miasto wyemitowało obligacje komunalne na kwotę 7.205.000,00 zł zgodnie z uchwałą Rady Miasta nr XXVIII/157/16 z dnia 27 czerwca 2016 r i pozytywną opinią Regionalnej Izby Obrachunkowej w Katowicach wyrażoną w uchwale nr 4200/VII/156/2016 z dnia 29 września 2016. </w:t>
      </w:r>
    </w:p>
    <w:p>
      <w:pPr>
        <w:pStyle w:val="Normal"/>
        <w:spacing w:lineRule="auto" w:line="240" w:before="0" w:after="0"/>
        <w:rPr>
          <w:rFonts w:cs="TimesNewRoman"/>
        </w:rPr>
      </w:pPr>
      <w:r>
        <w:rPr>
          <w:rFonts w:cs="TimesNewRoman"/>
        </w:rPr>
      </w:r>
    </w:p>
    <w:p>
      <w:pPr>
        <w:pStyle w:val="Normal"/>
        <w:spacing w:lineRule="auto" w:line="240" w:before="0" w:after="0"/>
        <w:rPr>
          <w:rFonts w:cs="TimesNewRoman"/>
        </w:rPr>
      </w:pPr>
      <w:r>
        <w:rPr>
          <w:rFonts w:cs="TimesNewRoman"/>
        </w:rPr>
        <w:t>Cel i przeznaczenie obligacji jest zgodny z  w/w uchwałami oraz z uchwałą Rady Miasta Poręba nr XXII/125/16 z dnia 22 lutego 2016 w sprawie programu postępowania naprawczego dla Gminy Poręba na lata 2016-2018 oraz Uchwałą Rady Miasta Poręba nr XXV/140/16 z dnia 29 marca 2016 w sprawie uchwalenia budżetu Miasta na rok 2016 i zmianą w Uchwale budżetowej nr XXVI/146/16 z dnia 25 kwietnia 2016r.</w:t>
      </w:r>
    </w:p>
    <w:p>
      <w:pPr>
        <w:pStyle w:val="Normal"/>
        <w:spacing w:lineRule="auto" w:line="240" w:before="0" w:after="0"/>
        <w:rPr>
          <w:rFonts w:cs="TimesNewRoman"/>
        </w:rPr>
      </w:pPr>
      <w:r>
        <w:rPr>
          <w:rFonts w:cs="TimesNewRoman"/>
        </w:rPr>
        <w:t>Obligacje w kwocie 7.205.000,00 zł,  przeznacza się na :</w:t>
      </w:r>
    </w:p>
    <w:p>
      <w:pPr>
        <w:pStyle w:val="Normal"/>
        <w:spacing w:lineRule="auto" w:line="240" w:before="0" w:after="0"/>
        <w:rPr>
          <w:rFonts w:cs="TimesNewRoman"/>
        </w:rPr>
      </w:pPr>
      <w:r>
        <w:rPr>
          <w:rFonts w:cs="TimesNewRoman"/>
        </w:rPr>
        <w:t xml:space="preserve">-1.037.296,00 zł bieżące raty kredytów i pożyczek, wynikające z harmonogramów spłat w roku 2016 </w:t>
      </w:r>
    </w:p>
    <w:p>
      <w:pPr>
        <w:pStyle w:val="Normal"/>
        <w:spacing w:lineRule="auto" w:line="240" w:before="0" w:after="0"/>
        <w:rPr>
          <w:rFonts w:cs="TimesNewRoman"/>
        </w:rPr>
      </w:pPr>
      <w:r>
        <w:rPr>
          <w:rFonts w:cs="TimesNewRoman"/>
        </w:rPr>
        <w:t>- 5.083.500,00 zł na spłatę kredytów zaciągniętych przez Miasto w latach ubiegłych</w:t>
      </w:r>
    </w:p>
    <w:p>
      <w:pPr>
        <w:pStyle w:val="Normal"/>
        <w:jc w:val="both"/>
        <w:rPr>
          <w:rFonts w:cs="TimesNewRoman"/>
        </w:rPr>
      </w:pPr>
      <w:r>
        <w:rPr>
          <w:rFonts w:cs="TimesNewRoman"/>
        </w:rPr>
        <w:t>(konsolidacja zadłużenia)</w:t>
      </w:r>
    </w:p>
    <w:p>
      <w:pPr>
        <w:pStyle w:val="Normal"/>
        <w:jc w:val="both"/>
        <w:rPr/>
      </w:pPr>
      <w:r>
        <w:rPr>
          <w:rFonts w:cs="TimesNewRoman"/>
        </w:rPr>
        <w:t>- 1.084.204,00 zł na pokrycie planowanego  deficytu budżetu w roku 2016.</w:t>
      </w:r>
    </w:p>
    <w:p>
      <w:pPr>
        <w:pStyle w:val="Normal"/>
        <w:jc w:val="both"/>
        <w:rPr>
          <w:rFonts w:cs="TimesNewRoman"/>
        </w:rPr>
      </w:pPr>
      <w:r>
        <w:rPr/>
      </w:r>
    </w:p>
    <w:p>
      <w:pPr>
        <w:pStyle w:val="Normal"/>
        <w:jc w:val="both"/>
        <w:rPr>
          <w:rFonts w:cs="TimesNewRoman"/>
          <w:b/>
          <w:b/>
        </w:rPr>
      </w:pPr>
      <w:r>
        <w:rPr>
          <w:rFonts w:cs="TimesNewRoman"/>
          <w:b w:val="false"/>
          <w:bCs w:val="false"/>
        </w:rPr>
        <w:t>Ad .7</w:t>
      </w:r>
    </w:p>
    <w:p>
      <w:pPr>
        <w:pStyle w:val="Normal"/>
        <w:jc w:val="both"/>
        <w:rPr>
          <w:rFonts w:cs="Calibri" w:cstheme="minorHAnsi"/>
        </w:rPr>
      </w:pPr>
      <w:r>
        <w:rPr>
          <w:rFonts w:cs="TimesNewRoman"/>
        </w:rPr>
        <w:t xml:space="preserve">W roku bieżącym  wydatki w rozdziale 90002- „gospodarka odpadami” zaplanowano na kwotę 1.389.929,00 zł -  dochody na kwotę 1 364 000,00 zł. Do końca III kwartału bieżącego roku wpływy  tyt. gospodarki odpadami wynosiły 1.054.473,67 zł , a wydatki 995 844,88 zł. Informuje, że rozdział 90002 charakteryzuje się realizacją  wydatków tylko z zakresu  gospodarki odpadami oznacza to,że żaden inny wydatek dotyczący innej działalności Urzędu Miasta nie może być zrealizowany w tym rozdziale. Należy jednak pamiętać, że na koniec  roku 2015 w rozdziale 90002  powstały zobowiązania z tyt. niezapłaconych faktur  w wysokości   </w:t>
      </w:r>
      <w:r>
        <w:rPr>
          <w:rFonts w:cs="Calibri" w:cstheme="minorHAnsi"/>
        </w:rPr>
        <w:t>425 602,67 zł. (w tym niewymagalne objęte mechanizmem subrogacji- 277.519,71 zł).Faktury te dotyczyły wyłącznie wywozu i odbioru odpadów .Jak Pan doskonale pamięta nie zostały zapłacone z powodów braku środków finansowych na rachunku bankowym Gminy. Dlatego też wydawać się może ,że w roku bieżącym powstaje nadwyżka operacyjna w tym rozdziale. Jednak w realnej rzeczywistości tak nie jest, ponieważ zobowiązania z roku 2015 stanowią zaangażowanie i jednocześnie wydatek  roku 2016.</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ab/>
        <w:tab/>
        <w:tab/>
        <w:tab/>
        <w:tab/>
        <w:tab/>
        <w:tab/>
        <w:tab/>
        <w:t>Burmistrz Miasta Poręba</w:t>
      </w:r>
    </w:p>
    <w:p>
      <w:pPr>
        <w:pStyle w:val="Normal"/>
        <w:spacing w:before="0" w:after="200"/>
        <w:jc w:val="both"/>
        <w:rPr/>
      </w:pPr>
      <w:r>
        <w:rPr>
          <w:rFonts w:cs="Calibri" w:cstheme="minorHAnsi"/>
        </w:rPr>
        <w:tab/>
        <w:tab/>
        <w:tab/>
        <w:tab/>
        <w:tab/>
        <w:tab/>
        <w:tab/>
        <w:tab/>
        <w:t>Ryszard Spyra</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92e87"/>
    <w:rPr/>
  </w:style>
  <w:style w:type="character" w:styleId="StopkaZnak" w:customStyle="1">
    <w:name w:val="Stopka Znak"/>
    <w:basedOn w:val="DefaultParagraphFont"/>
    <w:link w:val="Stopka"/>
    <w:uiPriority w:val="99"/>
    <w:qFormat/>
    <w:rsid w:val="00e92e87"/>
    <w:rPr/>
  </w:style>
  <w:style w:type="character" w:styleId="TekstdymkaZnak" w:customStyle="1">
    <w:name w:val="Tekst dymka Znak"/>
    <w:basedOn w:val="DefaultParagraphFont"/>
    <w:link w:val="Tekstdymka"/>
    <w:uiPriority w:val="99"/>
    <w:semiHidden/>
    <w:qFormat/>
    <w:rsid w:val="00683e82"/>
    <w:rPr>
      <w:rFonts w:ascii="Tahoma" w:hAnsi="Tahoma" w:cs="Tahoma"/>
      <w:sz w:val="16"/>
      <w:szCs w:val="16"/>
    </w:rPr>
  </w:style>
  <w:style w:type="character" w:styleId="ListLabel1">
    <w:name w:val="ListLabel 1"/>
    <w:qFormat/>
    <w:rPr>
      <w:b/>
    </w:rPr>
  </w:style>
  <w:style w:type="character" w:styleId="ListLabel2">
    <w:name w:val="ListLabel 2"/>
    <w:qFormat/>
    <w:rPr>
      <w:b w:val="false"/>
    </w:rPr>
  </w:style>
  <w:style w:type="character" w:styleId="ListLabel3">
    <w:name w:val="ListLabel 3"/>
    <w:qFormat/>
    <w:rPr>
      <w:b w:val="fals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unhideWhenUsed/>
    <w:rsid w:val="00e92e8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92e87"/>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aa2ba8"/>
    <w:pPr>
      <w:spacing w:lineRule="auto" w:line="259" w:before="0" w:after="160"/>
      <w:ind w:left="720" w:hanging="0"/>
      <w:contextualSpacing/>
    </w:pPr>
    <w:rPr/>
  </w:style>
  <w:style w:type="paragraph" w:styleId="BalloonText">
    <w:name w:val="Balloon Text"/>
    <w:basedOn w:val="Normal"/>
    <w:link w:val="TekstdymkaZnak"/>
    <w:uiPriority w:val="99"/>
    <w:semiHidden/>
    <w:unhideWhenUsed/>
    <w:qFormat/>
    <w:rsid w:val="00683e82"/>
    <w:pPr>
      <w:spacing w:lineRule="auto" w:line="240" w:before="0" w:after="0"/>
    </w:pPr>
    <w:rPr>
      <w:rFonts w:ascii="Tahoma" w:hAnsi="Tahoma" w:cs="Tahoma"/>
      <w:sz w:val="16"/>
      <w:szCs w:val="16"/>
    </w:rPr>
  </w:style>
  <w:style w:type="paragraph" w:styleId="Textbody" w:customStyle="1">
    <w:name w:val="Text body"/>
    <w:basedOn w:val="Normal"/>
    <w:qFormat/>
    <w:rsid w:val="006a28c7"/>
    <w:pPr>
      <w:suppressAutoHyphens w:val="true"/>
      <w:spacing w:lineRule="auto" w:line="240" w:before="0" w:after="120"/>
      <w:textAlignment w:val="baseline"/>
    </w:pPr>
    <w:rPr>
      <w:rFonts w:ascii="Times New Roman" w:hAnsi="Times New Roman" w:eastAsia="Lucida Sans Unicode" w:cs="Mangal"/>
      <w:sz w:val="24"/>
      <w:szCs w:val="24"/>
      <w:lang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d55b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Application>LibreOffice/5.2.2.2$Windows_x86 LibreOffice_project/8f96e87c890bf8fa77463cd4b640a2312823f3ad</Application>
  <Pages>5</Pages>
  <Words>1428</Words>
  <Characters>8546</Characters>
  <CharactersWithSpaces>9988</CharactersWithSpaces>
  <Paragraphs>66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2016-11-30T09:42:00Z</dcterms:created>
  <dc:creator>Skarbnik</dc:creator>
  <dc:description/>
  <dc:language>pl-PL</dc:language>
  <cp:lastModifiedBy/>
  <cp:lastPrinted>2016-11-21T10:15:00Z</cp:lastPrinted>
  <dcterms:modified xsi:type="dcterms:W3CDTF">2016-12-07T14:14:28Z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