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DF90" w14:textId="53AC7E32" w:rsidR="004B370D" w:rsidRPr="00957677" w:rsidRDefault="00400DC7" w:rsidP="007A35E9">
      <w:pPr>
        <w:rPr>
          <w:rFonts w:ascii="Arial" w:hAnsi="Arial" w:cs="Arial"/>
          <w:sz w:val="28"/>
          <w:szCs w:val="28"/>
        </w:rPr>
      </w:pPr>
      <w:r w:rsidRPr="00957677">
        <w:rPr>
          <w:rFonts w:ascii="Arial" w:hAnsi="Arial" w:cs="Arial"/>
          <w:sz w:val="28"/>
          <w:szCs w:val="28"/>
        </w:rPr>
        <w:t>Załącznik</w:t>
      </w:r>
      <w:r w:rsidR="007A35E9" w:rsidRPr="00957677">
        <w:rPr>
          <w:rFonts w:ascii="Arial" w:hAnsi="Arial" w:cs="Arial"/>
          <w:sz w:val="28"/>
          <w:szCs w:val="28"/>
        </w:rPr>
        <w:t xml:space="preserve"> nr 1</w:t>
      </w:r>
      <w:r w:rsidRPr="00957677">
        <w:rPr>
          <w:rFonts w:ascii="Arial" w:hAnsi="Arial" w:cs="Arial"/>
          <w:sz w:val="28"/>
          <w:szCs w:val="28"/>
        </w:rPr>
        <w:t xml:space="preserve"> do Zarządzenia Burmistrza Miasta Poręba Nr</w:t>
      </w:r>
      <w:r w:rsidR="008468A5">
        <w:rPr>
          <w:rFonts w:ascii="Arial" w:hAnsi="Arial" w:cs="Arial"/>
          <w:sz w:val="28"/>
          <w:szCs w:val="28"/>
        </w:rPr>
        <w:t xml:space="preserve"> </w:t>
      </w:r>
      <w:r w:rsidR="008468A5" w:rsidRPr="008468A5">
        <w:rPr>
          <w:rFonts w:ascii="Arial" w:hAnsi="Arial" w:cs="Arial"/>
          <w:sz w:val="28"/>
          <w:szCs w:val="28"/>
        </w:rPr>
        <w:t>114</w:t>
      </w:r>
      <w:r w:rsidRPr="008468A5">
        <w:rPr>
          <w:rFonts w:ascii="Arial" w:hAnsi="Arial" w:cs="Arial"/>
          <w:sz w:val="28"/>
          <w:szCs w:val="28"/>
        </w:rPr>
        <w:t>/</w:t>
      </w:r>
      <w:r w:rsidR="008468A5" w:rsidRPr="008468A5">
        <w:rPr>
          <w:rFonts w:ascii="Arial" w:hAnsi="Arial" w:cs="Arial"/>
          <w:sz w:val="28"/>
          <w:szCs w:val="28"/>
        </w:rPr>
        <w:t>20</w:t>
      </w:r>
      <w:r w:rsidR="00AA7B6F" w:rsidRPr="008468A5">
        <w:rPr>
          <w:rFonts w:ascii="Arial" w:hAnsi="Arial" w:cs="Arial"/>
          <w:sz w:val="28"/>
          <w:szCs w:val="28"/>
        </w:rPr>
        <w:t>20</w:t>
      </w:r>
      <w:r w:rsidRPr="008468A5">
        <w:rPr>
          <w:rFonts w:ascii="Arial" w:hAnsi="Arial" w:cs="Arial"/>
          <w:sz w:val="28"/>
          <w:szCs w:val="28"/>
        </w:rPr>
        <w:t xml:space="preserve"> </w:t>
      </w:r>
      <w:r w:rsidRPr="00957677">
        <w:rPr>
          <w:rFonts w:ascii="Arial" w:hAnsi="Arial" w:cs="Arial"/>
          <w:sz w:val="28"/>
          <w:szCs w:val="28"/>
        </w:rPr>
        <w:t xml:space="preserve">z dnia </w:t>
      </w:r>
      <w:r w:rsidR="00AA7B6F">
        <w:rPr>
          <w:rFonts w:ascii="Arial" w:hAnsi="Arial" w:cs="Arial"/>
          <w:sz w:val="28"/>
          <w:szCs w:val="28"/>
        </w:rPr>
        <w:t>26</w:t>
      </w:r>
      <w:r w:rsidRPr="00957677">
        <w:rPr>
          <w:rFonts w:ascii="Arial" w:hAnsi="Arial" w:cs="Arial"/>
          <w:sz w:val="28"/>
          <w:szCs w:val="28"/>
        </w:rPr>
        <w:t xml:space="preserve"> </w:t>
      </w:r>
      <w:r w:rsidR="00AA7B6F">
        <w:rPr>
          <w:rFonts w:ascii="Arial" w:hAnsi="Arial" w:cs="Arial"/>
          <w:sz w:val="28"/>
          <w:szCs w:val="28"/>
        </w:rPr>
        <w:t>czerwca</w:t>
      </w:r>
      <w:r w:rsidRPr="00957677">
        <w:rPr>
          <w:rFonts w:ascii="Arial" w:hAnsi="Arial" w:cs="Arial"/>
          <w:sz w:val="28"/>
          <w:szCs w:val="28"/>
        </w:rPr>
        <w:t xml:space="preserve"> 20</w:t>
      </w:r>
      <w:r w:rsidR="00AA7B6F">
        <w:rPr>
          <w:rFonts w:ascii="Arial" w:hAnsi="Arial" w:cs="Arial"/>
          <w:sz w:val="28"/>
          <w:szCs w:val="28"/>
        </w:rPr>
        <w:t>20</w:t>
      </w:r>
      <w:r w:rsidRPr="00957677">
        <w:rPr>
          <w:rFonts w:ascii="Arial" w:hAnsi="Arial" w:cs="Arial"/>
          <w:sz w:val="28"/>
          <w:szCs w:val="28"/>
        </w:rPr>
        <w:t xml:space="preserve"> r.</w:t>
      </w:r>
    </w:p>
    <w:tbl>
      <w:tblPr>
        <w:tblStyle w:val="Tabela-Siatka"/>
        <w:tblW w:w="22534" w:type="dxa"/>
        <w:tblLook w:val="04A0" w:firstRow="1" w:lastRow="0" w:firstColumn="1" w:lastColumn="0" w:noHBand="0" w:noVBand="1"/>
      </w:tblPr>
      <w:tblGrid>
        <w:gridCol w:w="643"/>
        <w:gridCol w:w="1274"/>
        <w:gridCol w:w="1557"/>
        <w:gridCol w:w="2127"/>
        <w:gridCol w:w="1982"/>
        <w:gridCol w:w="2550"/>
        <w:gridCol w:w="7918"/>
        <w:gridCol w:w="2264"/>
        <w:gridCol w:w="2219"/>
      </w:tblGrid>
      <w:tr w:rsidR="00400DC7" w:rsidRPr="00957677" w14:paraId="5A1E48F5" w14:textId="77777777" w:rsidTr="008031C8">
        <w:tc>
          <w:tcPr>
            <w:tcW w:w="22534" w:type="dxa"/>
            <w:gridSpan w:val="9"/>
          </w:tcPr>
          <w:p w14:paraId="6C0D53FF" w14:textId="77777777" w:rsidR="00833AD1" w:rsidRDefault="00833AD1" w:rsidP="002503D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87BE20E" w14:textId="2FE7D619" w:rsidR="00400DC7" w:rsidRPr="00833AD1" w:rsidRDefault="00400DC7" w:rsidP="002503D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33AD1">
              <w:rPr>
                <w:rFonts w:ascii="Arial" w:hAnsi="Arial" w:cs="Arial"/>
                <w:b/>
                <w:bCs/>
                <w:sz w:val="44"/>
                <w:szCs w:val="44"/>
              </w:rPr>
              <w:t>Wykaz nieruchomości przeznaczonych do zbycia w trybie przetargowym</w:t>
            </w:r>
          </w:p>
          <w:p w14:paraId="71941CB5" w14:textId="2DFE8688" w:rsidR="002503DE" w:rsidRPr="00957677" w:rsidRDefault="002503DE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35E9" w:rsidRPr="00957677" w14:paraId="5577E58E" w14:textId="77777777" w:rsidTr="008031C8">
        <w:tc>
          <w:tcPr>
            <w:tcW w:w="608" w:type="dxa"/>
          </w:tcPr>
          <w:p w14:paraId="56E1CCEC" w14:textId="19E9FBB9" w:rsidR="00400DC7" w:rsidRPr="008031C8" w:rsidRDefault="00400DC7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76" w:type="dxa"/>
          </w:tcPr>
          <w:p w14:paraId="2F7F657C" w14:textId="339BBD2A" w:rsidR="00400DC7" w:rsidRPr="008031C8" w:rsidRDefault="00400DC7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559" w:type="dxa"/>
          </w:tcPr>
          <w:p w14:paraId="4565012A" w14:textId="0F7D66A4" w:rsidR="00400DC7" w:rsidRPr="008031C8" w:rsidRDefault="00400DC7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Pow. w [ha]</w:t>
            </w:r>
          </w:p>
        </w:tc>
        <w:tc>
          <w:tcPr>
            <w:tcW w:w="2127" w:type="dxa"/>
          </w:tcPr>
          <w:p w14:paraId="4EEA8E29" w14:textId="636449AA" w:rsidR="00400DC7" w:rsidRPr="008031C8" w:rsidRDefault="00400DC7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Nr Księgi Wieczystej</w:t>
            </w:r>
          </w:p>
        </w:tc>
        <w:tc>
          <w:tcPr>
            <w:tcW w:w="1984" w:type="dxa"/>
          </w:tcPr>
          <w:p w14:paraId="175C95EF" w14:textId="66EFC258" w:rsidR="00400DC7" w:rsidRPr="008031C8" w:rsidRDefault="00400DC7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552" w:type="dxa"/>
          </w:tcPr>
          <w:p w14:paraId="55F0BFE6" w14:textId="65E9B73A" w:rsidR="00400DC7" w:rsidRPr="008031C8" w:rsidRDefault="00400DC7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Przeznaczenie</w:t>
            </w:r>
            <w:r w:rsidR="001018F3" w:rsidRPr="008031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MPZP</w:t>
            </w:r>
          </w:p>
        </w:tc>
        <w:tc>
          <w:tcPr>
            <w:tcW w:w="7938" w:type="dxa"/>
          </w:tcPr>
          <w:p w14:paraId="0FFEBEBD" w14:textId="5F4C78E3" w:rsidR="00400DC7" w:rsidRPr="008031C8" w:rsidRDefault="001018F3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2268" w:type="dxa"/>
          </w:tcPr>
          <w:p w14:paraId="3AE80684" w14:textId="11D4D44F" w:rsidR="00400DC7" w:rsidRPr="008031C8" w:rsidRDefault="001018F3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2222" w:type="dxa"/>
          </w:tcPr>
          <w:p w14:paraId="724ED615" w14:textId="53E8AE00" w:rsidR="00400DC7" w:rsidRPr="008031C8" w:rsidRDefault="001018F3" w:rsidP="00E7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1C8">
              <w:rPr>
                <w:rFonts w:ascii="Arial" w:hAnsi="Arial" w:cs="Arial"/>
                <w:b/>
                <w:bCs/>
                <w:sz w:val="24"/>
                <w:szCs w:val="24"/>
              </w:rPr>
              <w:t>Termin płatności</w:t>
            </w:r>
          </w:p>
        </w:tc>
      </w:tr>
      <w:tr w:rsidR="00E72333" w:rsidRPr="00957677" w14:paraId="4CA9D42D" w14:textId="77777777" w:rsidTr="008031C8">
        <w:tc>
          <w:tcPr>
            <w:tcW w:w="608" w:type="dxa"/>
          </w:tcPr>
          <w:p w14:paraId="41C9E31F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1AD8E6B1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654665C2" w14:textId="791AF93F" w:rsidR="001018F3" w:rsidRPr="00957677" w:rsidRDefault="001018F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</w:t>
            </w:r>
          </w:p>
          <w:p w14:paraId="73AE5139" w14:textId="2B869672" w:rsidR="001018F3" w:rsidRPr="00957677" w:rsidRDefault="001018F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011380" w14:textId="77777777" w:rsidR="001018F3" w:rsidRPr="00957677" w:rsidRDefault="001018F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016EF358" w14:textId="7D5AE547" w:rsidR="001018F3" w:rsidRPr="00957677" w:rsidRDefault="001018F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A1F5C" w14:textId="231AD286" w:rsidR="001018F3" w:rsidRPr="00957677" w:rsidRDefault="001018F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0,0972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1BC3B" w14:textId="570B30BA" w:rsidR="001018F3" w:rsidRPr="00957677" w:rsidRDefault="001018F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1C5F5EEE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220C0205" w14:textId="0E16D112" w:rsidR="00E72333" w:rsidRPr="00957677" w:rsidRDefault="001018F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636EDE10" w14:textId="3DE47D78" w:rsidR="001018F3" w:rsidRPr="00957677" w:rsidRDefault="001018F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</w:t>
            </w:r>
            <w:r w:rsidR="00E72333" w:rsidRPr="00957677">
              <w:rPr>
                <w:rFonts w:ascii="Arial" w:hAnsi="Arial" w:cs="Arial"/>
              </w:rPr>
              <w:t>r</w:t>
            </w:r>
            <w:r w:rsidRPr="00957677">
              <w:rPr>
                <w:rFonts w:ascii="Arial" w:hAnsi="Arial" w:cs="Arial"/>
              </w:rPr>
              <w:t>tyzantów</w:t>
            </w:r>
          </w:p>
        </w:tc>
        <w:tc>
          <w:tcPr>
            <w:tcW w:w="2552" w:type="dxa"/>
          </w:tcPr>
          <w:p w14:paraId="7EAE73A0" w14:textId="77777777" w:rsidR="007A35E9" w:rsidRPr="00957677" w:rsidRDefault="007A35E9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2F49FDF8" w14:textId="20979AAD" w:rsidR="001018F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44A0CF56" w14:textId="0838A287" w:rsidR="001018F3" w:rsidRPr="00957677" w:rsidRDefault="00BB6AE1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</w:t>
            </w:r>
            <w:r w:rsidR="000C0C40">
              <w:rPr>
                <w:rFonts w:ascii="Arial" w:hAnsi="Arial" w:cs="Arial"/>
              </w:rPr>
              <w:t xml:space="preserve">kształt regularny. Najbliższe otoczenie nieruchomości stanowią tereny zieleni. </w:t>
            </w:r>
            <w:r w:rsidR="000C0C40"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6B47B5C1" w14:textId="77777777" w:rsidR="001018F3" w:rsidRPr="008031C8" w:rsidRDefault="001018F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EDF798" w14:textId="24B3D030" w:rsidR="00700A76" w:rsidRDefault="007A35E9" w:rsidP="00E7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4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00,00 zł</w:t>
            </w:r>
            <w:r w:rsidR="00700A76">
              <w:rPr>
                <w:rFonts w:ascii="Arial" w:hAnsi="Arial" w:cs="Arial"/>
                <w:b/>
                <w:bCs/>
              </w:rPr>
              <w:t xml:space="preserve"> + </w:t>
            </w:r>
          </w:p>
          <w:p w14:paraId="683EF194" w14:textId="3EDD6163" w:rsidR="007A35E9" w:rsidRPr="008031C8" w:rsidRDefault="00700A76" w:rsidP="00E7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22" w:type="dxa"/>
          </w:tcPr>
          <w:p w14:paraId="1D6BFE5A" w14:textId="77777777" w:rsidR="007A35E9" w:rsidRPr="00957677" w:rsidRDefault="007A35E9" w:rsidP="007A35E9">
            <w:pPr>
              <w:jc w:val="center"/>
              <w:rPr>
                <w:rFonts w:ascii="Arial" w:hAnsi="Arial" w:cs="Arial"/>
              </w:rPr>
            </w:pPr>
          </w:p>
          <w:p w14:paraId="51C6A4B7" w14:textId="5ACA4954" w:rsidR="001018F3" w:rsidRPr="00957677" w:rsidRDefault="007A35E9" w:rsidP="007A35E9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3C39A257" w14:textId="77777777" w:rsidTr="008031C8">
        <w:tc>
          <w:tcPr>
            <w:tcW w:w="608" w:type="dxa"/>
          </w:tcPr>
          <w:p w14:paraId="0DC6F4D9" w14:textId="7777777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  <w:p w14:paraId="78BE58A8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2A3D9811" w14:textId="5E081FF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92570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17FF963A" w14:textId="482BA91C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2DE93" w14:textId="4E0377E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0,0956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18D63" w14:textId="761BC5DC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110C791F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6E8F5AFB" w14:textId="5C179DC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17E9DC98" w14:textId="559485F9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3688951E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01C06D98" w14:textId="1BF23930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4E390070" w14:textId="17707B24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</w:t>
            </w:r>
            <w:r w:rsidR="00BA35AF">
              <w:rPr>
                <w:rFonts w:ascii="Arial" w:hAnsi="Arial" w:cs="Arial"/>
              </w:rPr>
              <w:t>es</w:t>
            </w:r>
            <w:r w:rsidR="008468A5">
              <w:rPr>
                <w:rFonts w:ascii="Arial" w:hAnsi="Arial" w:cs="Arial"/>
              </w:rPr>
              <w:t>z</w:t>
            </w:r>
            <w:r w:rsidRPr="000C0C40">
              <w:rPr>
                <w:rFonts w:ascii="Arial" w:hAnsi="Arial" w:cs="Arial"/>
              </w:rPr>
              <w:t>kaniowej jednorodzinnej oraz usług nieuciążliwych.</w:t>
            </w:r>
          </w:p>
        </w:tc>
        <w:tc>
          <w:tcPr>
            <w:tcW w:w="2268" w:type="dxa"/>
          </w:tcPr>
          <w:p w14:paraId="221BB633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2D936E" w14:textId="6F7865E1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7BD2A692" w14:textId="6C7D9CCE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22" w:type="dxa"/>
          </w:tcPr>
          <w:p w14:paraId="360F4F32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5B4D36BC" w14:textId="2CBEFD7C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177EF66B" w14:textId="77777777" w:rsidTr="008031C8">
        <w:tc>
          <w:tcPr>
            <w:tcW w:w="608" w:type="dxa"/>
          </w:tcPr>
          <w:p w14:paraId="55DE8138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07E457C7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6E9486DD" w14:textId="5410143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3</w:t>
            </w:r>
          </w:p>
          <w:p w14:paraId="0A15A77E" w14:textId="54CDACEA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28D2C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7BC755FA" w14:textId="7F4C0CF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A436B" w14:textId="239A3E1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0,0956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9336B" w14:textId="6F4BE00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62080471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14EE7661" w14:textId="268F499E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1C7657A8" w14:textId="01AE4089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56B2AE99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030D7BF6" w14:textId="30CD7FF5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37593B20" w14:textId="20BF3165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29E2276F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C2E941" w14:textId="04A59AC0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753DFB4A" w14:textId="0B7B4F7D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22" w:type="dxa"/>
          </w:tcPr>
          <w:p w14:paraId="253829CA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65DE2D5B" w14:textId="045E0024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0A7689CA" w14:textId="77777777" w:rsidTr="008031C8">
        <w:tc>
          <w:tcPr>
            <w:tcW w:w="608" w:type="dxa"/>
          </w:tcPr>
          <w:p w14:paraId="1FA939DC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142D590C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4322744C" w14:textId="3A1D615F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4</w:t>
            </w:r>
          </w:p>
          <w:p w14:paraId="24CFFC3B" w14:textId="77777777" w:rsidR="00E72333" w:rsidRDefault="00E72333" w:rsidP="00E72333">
            <w:pPr>
              <w:jc w:val="center"/>
              <w:rPr>
                <w:rFonts w:ascii="Arial" w:hAnsi="Arial" w:cs="Arial"/>
              </w:rPr>
            </w:pPr>
          </w:p>
          <w:p w14:paraId="7CC03219" w14:textId="116D2FD0" w:rsidR="008031C8" w:rsidRPr="00957677" w:rsidRDefault="008031C8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E3BD1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744ED101" w14:textId="7AAB96F9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5112C" w14:textId="23CBD2B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0,0956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0778F" w14:textId="5D5F342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45172D24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451DF6F3" w14:textId="689F5F4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36D79A18" w14:textId="2997939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15D14520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083F48D7" w14:textId="1FE10032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7EDA0378" w14:textId="61D6AF4E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1A7AA846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B173B6" w14:textId="224CFF4A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0CC4089C" w14:textId="23B0D01B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22" w:type="dxa"/>
          </w:tcPr>
          <w:p w14:paraId="2435CD38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578AFF71" w14:textId="76A7F383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50AF372C" w14:textId="77777777" w:rsidTr="008031C8">
        <w:tc>
          <w:tcPr>
            <w:tcW w:w="608" w:type="dxa"/>
          </w:tcPr>
          <w:p w14:paraId="5A17A018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6F5B021E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3E60624D" w14:textId="576596E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5</w:t>
            </w:r>
          </w:p>
          <w:p w14:paraId="324D9C5E" w14:textId="77777777" w:rsidR="00E72333" w:rsidRDefault="00E72333" w:rsidP="00E72333">
            <w:pPr>
              <w:jc w:val="center"/>
              <w:rPr>
                <w:rFonts w:ascii="Arial" w:hAnsi="Arial" w:cs="Arial"/>
              </w:rPr>
            </w:pPr>
          </w:p>
          <w:p w14:paraId="1FF068D9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0090C7E7" w14:textId="66748A74" w:rsidR="008031C8" w:rsidRPr="00957677" w:rsidRDefault="008031C8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0CA89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4D51A143" w14:textId="44B7C3CD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477F5" w14:textId="58DF57C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0,0956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AD787" w14:textId="0B375200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129B5920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370583A9" w14:textId="252B8BB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164B5AF8" w14:textId="6998BDA3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259A2637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63ED988F" w14:textId="185590A1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2D029631" w14:textId="04102559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0F453D9B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916017" w14:textId="442C4748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2E239B96" w14:textId="742029B8" w:rsidR="008F408C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  <w:p w14:paraId="5748B363" w14:textId="512C5E1F" w:rsidR="00700A76" w:rsidRPr="008031C8" w:rsidRDefault="00700A76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3245DB5E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1B16B1C9" w14:textId="3F0EB516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5A364DCA" w14:textId="77777777" w:rsidTr="008031C8">
        <w:tc>
          <w:tcPr>
            <w:tcW w:w="608" w:type="dxa"/>
          </w:tcPr>
          <w:p w14:paraId="21B32776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4D93D311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5305B79F" w14:textId="70FDA44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6</w:t>
            </w:r>
          </w:p>
          <w:p w14:paraId="6CE473F0" w14:textId="12A8064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6DD002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1340C00B" w14:textId="4C66E992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14113B" w14:textId="231B6D1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0,0956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E5D6DB" w14:textId="6E33F5A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3FD0BA24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23B00EDA" w14:textId="6CB6E73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1E7061E8" w14:textId="3436859B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3CF18D87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5868CCA8" w14:textId="25B8C886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47803EE5" w14:textId="7A756AEB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0F2FAD10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B5DD94" w14:textId="46FBB8F8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1DF9A651" w14:textId="2E027E76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22" w:type="dxa"/>
          </w:tcPr>
          <w:p w14:paraId="63F7C1D7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0D6E4413" w14:textId="3CFD7ED7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557F01B8" w14:textId="77777777" w:rsidTr="008031C8">
        <w:tc>
          <w:tcPr>
            <w:tcW w:w="608" w:type="dxa"/>
          </w:tcPr>
          <w:p w14:paraId="58DF1793" w14:textId="7777777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  <w:p w14:paraId="5301E03A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705323C2" w14:textId="2ABDEB8A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63BE4A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408FC077" w14:textId="60780D3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D759CA" w14:textId="789F5DBA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0,0925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C7BF1" w14:textId="14DBA09C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1DE873B0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2B365E6C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2AB05EEE" w14:textId="79AADEE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3B4B930F" w14:textId="4B369F3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40DD496C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5D557D5D" w14:textId="19CF4D83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33B74D99" w14:textId="0593C44B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7187C23D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7AB6D9" w14:textId="4BDFEEB1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2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="002503DE">
              <w:rPr>
                <w:rFonts w:ascii="Arial" w:hAnsi="Arial" w:cs="Arial"/>
                <w:b/>
                <w:bCs/>
              </w:rPr>
              <w:t>00</w:t>
            </w:r>
            <w:r w:rsidRPr="008031C8">
              <w:rPr>
                <w:rFonts w:ascii="Arial" w:hAnsi="Arial" w:cs="Arial"/>
                <w:b/>
                <w:bCs/>
              </w:rPr>
              <w:t>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1A28C73E" w14:textId="74C598D7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22" w:type="dxa"/>
          </w:tcPr>
          <w:p w14:paraId="1244BE24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29705524" w14:textId="32D436BD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53C655BF" w14:textId="77777777" w:rsidTr="008031C8">
        <w:tc>
          <w:tcPr>
            <w:tcW w:w="608" w:type="dxa"/>
          </w:tcPr>
          <w:p w14:paraId="5BD6A75F" w14:textId="77777777" w:rsidR="008F408C" w:rsidRPr="00957677" w:rsidRDefault="008F408C" w:rsidP="00E72333">
            <w:pPr>
              <w:jc w:val="center"/>
              <w:rPr>
                <w:rFonts w:ascii="Arial" w:hAnsi="Arial" w:cs="Arial"/>
              </w:rPr>
            </w:pPr>
          </w:p>
          <w:p w14:paraId="49CA36FF" w14:textId="189D0BB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8</w:t>
            </w:r>
          </w:p>
          <w:p w14:paraId="0471E02A" w14:textId="7B102F2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AD33D9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1FB16973" w14:textId="3292E52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273179" w14:textId="486DAF8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0,0956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A1E0DA" w14:textId="32F3CE3F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746CDB93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0986B0CA" w14:textId="5FD11DB0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433BC245" w14:textId="0F38E48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04DAC001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669897F2" w14:textId="04567BDF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070A18AD" w14:textId="10DE1BBC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266C040C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FBD307" w14:textId="0599456C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29615EB2" w14:textId="5CDB8703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22" w:type="dxa"/>
          </w:tcPr>
          <w:p w14:paraId="7975CB69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177A8ED6" w14:textId="723F1782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</w:tbl>
    <w:p w14:paraId="751C4848" w14:textId="076DC14B" w:rsidR="008F408C" w:rsidRPr="00957677" w:rsidRDefault="008F408C">
      <w:pPr>
        <w:rPr>
          <w:rFonts w:ascii="Arial" w:hAnsi="Arial" w:cs="Arial"/>
        </w:rPr>
      </w:pPr>
      <w:r w:rsidRPr="00957677">
        <w:rPr>
          <w:rFonts w:ascii="Arial" w:hAnsi="Arial" w:cs="Arial"/>
        </w:rPr>
        <w:br w:type="page"/>
      </w:r>
    </w:p>
    <w:tbl>
      <w:tblPr>
        <w:tblStyle w:val="Tabela-Siatka"/>
        <w:tblW w:w="22534" w:type="dxa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2127"/>
        <w:gridCol w:w="1984"/>
        <w:gridCol w:w="2552"/>
        <w:gridCol w:w="7938"/>
        <w:gridCol w:w="2268"/>
        <w:gridCol w:w="2268"/>
      </w:tblGrid>
      <w:tr w:rsidR="00E72333" w:rsidRPr="00957677" w14:paraId="7376E53F" w14:textId="77777777" w:rsidTr="00C43D06">
        <w:tc>
          <w:tcPr>
            <w:tcW w:w="562" w:type="dxa"/>
          </w:tcPr>
          <w:p w14:paraId="266592BE" w14:textId="77777777" w:rsidR="008F408C" w:rsidRPr="00957677" w:rsidRDefault="008F408C" w:rsidP="00E72333">
            <w:pPr>
              <w:jc w:val="center"/>
              <w:rPr>
                <w:rFonts w:ascii="Arial" w:hAnsi="Arial" w:cs="Arial"/>
              </w:rPr>
            </w:pPr>
          </w:p>
          <w:p w14:paraId="26CA76CD" w14:textId="77777777" w:rsidR="008F408C" w:rsidRPr="00957677" w:rsidRDefault="008F408C" w:rsidP="00E72333">
            <w:pPr>
              <w:jc w:val="center"/>
              <w:rPr>
                <w:rFonts w:ascii="Arial" w:hAnsi="Arial" w:cs="Arial"/>
              </w:rPr>
            </w:pPr>
          </w:p>
          <w:p w14:paraId="12F68F3F" w14:textId="21BB3AC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9</w:t>
            </w:r>
          </w:p>
          <w:p w14:paraId="7AD46E74" w14:textId="6DACA303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3C188F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429E51D3" w14:textId="3FFE7AD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B5E4E4" w14:textId="20BB0922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0,0957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1AE57B" w14:textId="425A295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558A5001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14A35919" w14:textId="0F309329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29E273AE" w14:textId="599DCFF3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6715B8B2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6F7CA570" w14:textId="57049D5C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1BE3A19E" w14:textId="33DAAE66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68E727A8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82238D" w14:textId="77777777" w:rsidR="008F408C" w:rsidRPr="008031C8" w:rsidRDefault="008F408C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0D2308" w14:textId="7C00BE74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06BBDB7B" w14:textId="4205E0E4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024C5164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6FDFB02F" w14:textId="37097EA5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535D3A6D" w14:textId="77777777" w:rsidTr="00C43D06">
        <w:tc>
          <w:tcPr>
            <w:tcW w:w="562" w:type="dxa"/>
          </w:tcPr>
          <w:p w14:paraId="5861F78B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77365C7F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58E90DF9" w14:textId="416267D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10</w:t>
            </w:r>
          </w:p>
          <w:p w14:paraId="33458A90" w14:textId="17E21FC2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92B141" w14:textId="77777777" w:rsidR="007A35E9" w:rsidRPr="00957677" w:rsidRDefault="007A35E9" w:rsidP="008F408C">
            <w:pPr>
              <w:pStyle w:val="Standard"/>
              <w:spacing w:after="0" w:line="240" w:lineRule="auto"/>
              <w:ind w:right="-108"/>
              <w:rPr>
                <w:rFonts w:ascii="Arial" w:hAnsi="Arial" w:cs="Arial"/>
                <w:b/>
              </w:rPr>
            </w:pPr>
          </w:p>
          <w:p w14:paraId="17F05C67" w14:textId="7B3FF479" w:rsidR="00E72333" w:rsidRPr="00957677" w:rsidRDefault="00E72333" w:rsidP="008F408C">
            <w:pPr>
              <w:pStyle w:val="Standard"/>
              <w:spacing w:after="0" w:line="240" w:lineRule="auto"/>
              <w:ind w:right="-108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0DE186B7" w14:textId="044BA20D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D94728" w14:textId="77777777" w:rsidR="007A35E9" w:rsidRPr="00957677" w:rsidRDefault="007A35E9" w:rsidP="001D1B9B">
            <w:pPr>
              <w:rPr>
                <w:rFonts w:ascii="Arial" w:hAnsi="Arial" w:cs="Arial"/>
              </w:rPr>
            </w:pPr>
          </w:p>
          <w:p w14:paraId="1FF9CA23" w14:textId="532E9A10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0,0978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17BF1" w14:textId="77777777" w:rsidR="007A35E9" w:rsidRPr="00957677" w:rsidRDefault="007A35E9" w:rsidP="001D1B9B">
            <w:pPr>
              <w:rPr>
                <w:rFonts w:ascii="Arial" w:hAnsi="Arial" w:cs="Arial"/>
              </w:rPr>
            </w:pPr>
          </w:p>
          <w:p w14:paraId="4CCC6845" w14:textId="2D68960F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541A4531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0A66FDE3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163F7C24" w14:textId="710C92C2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58C90AD0" w14:textId="1C8A22E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61BC866D" w14:textId="77777777" w:rsidR="007A35E9" w:rsidRPr="00957677" w:rsidRDefault="007A35E9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33B0AF0C" w14:textId="3B6A66E2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1C381EE7" w14:textId="6761543F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79F33566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427E8D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FA7748" w14:textId="5BB8FDBC" w:rsidR="00700A76" w:rsidRPr="00700A76" w:rsidRDefault="008F408C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4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30063898" w14:textId="0ABEC034" w:rsidR="008F408C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27795F28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79B5ED4A" w14:textId="44DB2DD0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0F206CED" w14:textId="77777777" w:rsidTr="00C43D06">
        <w:tc>
          <w:tcPr>
            <w:tcW w:w="562" w:type="dxa"/>
          </w:tcPr>
          <w:p w14:paraId="2007555F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6E00EB31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7EE26F1F" w14:textId="5462D13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11</w:t>
            </w:r>
          </w:p>
          <w:p w14:paraId="3A973BE5" w14:textId="7FC9E1A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36C959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56E180EE" w14:textId="51E09903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1C01E7" w14:textId="305ADE8F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0,0978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81D3C8" w14:textId="2918DEF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588C082C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7A69F01A" w14:textId="0EDD3D79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4CA689D4" w14:textId="4D2CFCC5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1CABEE55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2C02729E" w14:textId="475B828B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74F3E0C0" w14:textId="1BE9E2E2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1DB096D1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8DD44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5AAA9F" w14:textId="52B2D38A" w:rsidR="00700A76" w:rsidRPr="00700A76" w:rsidRDefault="001D1B9B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4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 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4B021F49" w14:textId="6F5084E1" w:rsidR="001D1B9B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32DD51F3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2B76FEF9" w14:textId="76443CCC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78A2D8BB" w14:textId="77777777" w:rsidTr="00C43D06">
        <w:tc>
          <w:tcPr>
            <w:tcW w:w="562" w:type="dxa"/>
          </w:tcPr>
          <w:p w14:paraId="2DC727B3" w14:textId="7777777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  <w:p w14:paraId="55CCE926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69FF8B19" w14:textId="344BAA3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6C8344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0B883778" w14:textId="4F121AC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C4B3F7" w14:textId="049A250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0,0972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38B524" w14:textId="288B442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362A0AD0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51E9FDFD" w14:textId="0F226930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1689F894" w14:textId="18C1A662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3F808DA7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4611F8B8" w14:textId="0AE2F292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3A7F721A" w14:textId="76B1C473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7EDD6849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3EECC9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5F7776" w14:textId="4BCAC7A9" w:rsidR="00700A76" w:rsidRPr="00700A76" w:rsidRDefault="001D1B9B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4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46491F52" w14:textId="0376C7D5" w:rsidR="001D1B9B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0E982979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7E435863" w14:textId="6F9DAA38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13D66B12" w14:textId="77777777" w:rsidTr="00C43D06">
        <w:tc>
          <w:tcPr>
            <w:tcW w:w="562" w:type="dxa"/>
          </w:tcPr>
          <w:p w14:paraId="6D53DC4F" w14:textId="7777777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  <w:p w14:paraId="307A03F3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1A616710" w14:textId="31193E5B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C15D84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25BB7E4C" w14:textId="4B53FC6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E8E6E7" w14:textId="7006F4E0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0,0956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EEF5BA" w14:textId="55ED2012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090B0E4B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5818BE6A" w14:textId="05EDA622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0B5590D4" w14:textId="484DC6EB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0B2AE46F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6CA1C797" w14:textId="41C70580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1572DD00" w14:textId="1CCA7381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57CE6E02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B1EE39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40A6B2" w14:textId="660C0846" w:rsidR="00700A76" w:rsidRPr="00700A76" w:rsidRDefault="001D1B9B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8179FF">
              <w:rPr>
                <w:rFonts w:ascii="Arial" w:hAnsi="Arial" w:cs="Arial"/>
                <w:b/>
                <w:bCs/>
              </w:rPr>
              <w:t>3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8179FF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72950743" w14:textId="7C47E0F0" w:rsidR="001D1B9B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6AF40E45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5A44935E" w14:textId="7E7BB5A2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7F184D40" w14:textId="77777777" w:rsidTr="00C43D06">
        <w:tc>
          <w:tcPr>
            <w:tcW w:w="562" w:type="dxa"/>
          </w:tcPr>
          <w:p w14:paraId="0EBB92BE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118F8873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07EC41B4" w14:textId="4CF9431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14</w:t>
            </w:r>
          </w:p>
          <w:p w14:paraId="23D656ED" w14:textId="4537C779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F4458F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70D17D37" w14:textId="3C18FD4C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D8CE2" w14:textId="25BA25A0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0,0925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D29524" w14:textId="71423CDE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346DA52A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6AD4FA1D" w14:textId="082FFF9B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4AB05427" w14:textId="078C151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345045BD" w14:textId="77777777" w:rsidR="002503DE" w:rsidRDefault="002503DE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69994058" w14:textId="71DC87BD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8MN – tereny zabudowy mieszkaniowej, jednorodzinnej</w:t>
            </w:r>
          </w:p>
        </w:tc>
        <w:tc>
          <w:tcPr>
            <w:tcW w:w="7938" w:type="dxa"/>
          </w:tcPr>
          <w:p w14:paraId="37466A8D" w14:textId="1DBDDBEE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3590FC68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B88A6B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152D76" w14:textId="143E52C3" w:rsidR="00700A76" w:rsidRPr="00700A76" w:rsidRDefault="001D1B9B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4</w:t>
            </w:r>
            <w:r w:rsidR="001C0104">
              <w:rPr>
                <w:rFonts w:ascii="Arial" w:hAnsi="Arial" w:cs="Arial"/>
                <w:b/>
                <w:bCs/>
              </w:rPr>
              <w:t>2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1C0104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2372835C" w14:textId="587DD471" w:rsidR="001D1B9B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02AD4A9D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7B26159E" w14:textId="2FD4682D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3F266C72" w14:textId="77777777" w:rsidTr="00C43D06">
        <w:tc>
          <w:tcPr>
            <w:tcW w:w="562" w:type="dxa"/>
          </w:tcPr>
          <w:p w14:paraId="1F33EE2B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323551CA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021C9E7C" w14:textId="2644A33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15</w:t>
            </w:r>
          </w:p>
          <w:p w14:paraId="62587E05" w14:textId="0DA15A9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2604C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  <w:b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77E763B3" w14:textId="5E56568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E8BAB9" w14:textId="143FF56F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0,1477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5005E0" w14:textId="74B757EC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677A1F8A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2411ABDC" w14:textId="7D34A3BA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59FE44D5" w14:textId="54FAD99B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588CA500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0AA383C9" w14:textId="078A1D24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7MN – teren zabudowy mieszkaniowej, jednorodzinnej</w:t>
            </w:r>
          </w:p>
        </w:tc>
        <w:tc>
          <w:tcPr>
            <w:tcW w:w="7938" w:type="dxa"/>
          </w:tcPr>
          <w:p w14:paraId="3E0378C8" w14:textId="17AAF88E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69866A83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7890CF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6EEB91" w14:textId="7F91ABFE" w:rsidR="00700A76" w:rsidRPr="00700A76" w:rsidRDefault="001C0104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AE5A69">
              <w:rPr>
                <w:rFonts w:ascii="Arial" w:hAnsi="Arial" w:cs="Arial"/>
                <w:b/>
                <w:bCs/>
              </w:rPr>
              <w:t>6</w:t>
            </w:r>
            <w:r w:rsidR="001D1B9B" w:rsidRPr="008031C8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D1B9B" w:rsidRPr="008031C8">
              <w:rPr>
                <w:rFonts w:ascii="Arial" w:hAnsi="Arial" w:cs="Arial"/>
                <w:b/>
                <w:bCs/>
              </w:rPr>
              <w:t>00,00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263D646E" w14:textId="00501E74" w:rsidR="001D1B9B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1491620E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1C428649" w14:textId="4D14085B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010748AF" w14:textId="77777777" w:rsidTr="00C43D06">
        <w:tc>
          <w:tcPr>
            <w:tcW w:w="562" w:type="dxa"/>
          </w:tcPr>
          <w:p w14:paraId="147CA0FD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7BE8210B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15571FF7" w14:textId="0C38D8F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16</w:t>
            </w:r>
          </w:p>
          <w:p w14:paraId="401B27A8" w14:textId="6695A13A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B4E635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6CCD347E" w14:textId="3204A88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63A529" w14:textId="77C1AF7C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0,1122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C3D236" w14:textId="5C761896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7969018A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367B0279" w14:textId="5318CC78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476443EC" w14:textId="281ABCC4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4F1E4256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6C8E9A8F" w14:textId="26A2D050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7MN – teren zabudowy mieszkaniowej, jednorodzinnej</w:t>
            </w:r>
          </w:p>
        </w:tc>
        <w:tc>
          <w:tcPr>
            <w:tcW w:w="7938" w:type="dxa"/>
          </w:tcPr>
          <w:p w14:paraId="35CC5A62" w14:textId="150E10D1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3FDFA4F6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2A88B4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F5BA13" w14:textId="61A3688F" w:rsidR="00700A76" w:rsidRPr="00700A76" w:rsidRDefault="001D1B9B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5</w:t>
            </w:r>
            <w:r w:rsidR="001C0104">
              <w:rPr>
                <w:rFonts w:ascii="Arial" w:hAnsi="Arial" w:cs="Arial"/>
                <w:b/>
                <w:bCs/>
              </w:rPr>
              <w:t>1</w:t>
            </w:r>
            <w:r w:rsidRPr="008031C8">
              <w:rPr>
                <w:rFonts w:ascii="Arial" w:hAnsi="Arial" w:cs="Arial"/>
                <w:b/>
                <w:bCs/>
              </w:rPr>
              <w:t> 000,00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7BB433F2" w14:textId="39F04724" w:rsidR="001D1B9B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3E1353E9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4B39BCA8" w14:textId="286B7925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  <w:tr w:rsidR="00E72333" w:rsidRPr="00957677" w14:paraId="09FDE423" w14:textId="77777777" w:rsidTr="00C43D06">
        <w:trPr>
          <w:trHeight w:val="721"/>
        </w:trPr>
        <w:tc>
          <w:tcPr>
            <w:tcW w:w="562" w:type="dxa"/>
          </w:tcPr>
          <w:p w14:paraId="581299E0" w14:textId="77777777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  <w:p w14:paraId="618A913A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457CFA28" w14:textId="13488E5F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17</w:t>
            </w:r>
          </w:p>
          <w:p w14:paraId="29DE905F" w14:textId="77777777" w:rsidR="00E72333" w:rsidRPr="00957677" w:rsidRDefault="00E72333" w:rsidP="00E72333">
            <w:pPr>
              <w:rPr>
                <w:rFonts w:ascii="Arial" w:hAnsi="Arial" w:cs="Arial"/>
              </w:rPr>
            </w:pPr>
          </w:p>
          <w:p w14:paraId="0F7C1846" w14:textId="52C9FC3D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DB7E4F" w14:textId="77777777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  <w:b/>
              </w:rPr>
            </w:pPr>
            <w:r w:rsidRPr="00957677">
              <w:rPr>
                <w:rFonts w:ascii="Arial" w:hAnsi="Arial" w:cs="Arial"/>
                <w:b/>
              </w:rPr>
              <w:t>Działka nr</w:t>
            </w:r>
          </w:p>
          <w:p w14:paraId="26BBFFD6" w14:textId="55F284BF" w:rsidR="00E72333" w:rsidRPr="00957677" w:rsidRDefault="00E72333" w:rsidP="00E72333">
            <w:pPr>
              <w:pStyle w:val="Standard"/>
              <w:spacing w:after="0" w:line="240" w:lineRule="auto"/>
              <w:ind w:left="-155" w:right="-108" w:firstLine="47"/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  <w:b/>
              </w:rPr>
              <w:t>3146/21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5281E2" w14:textId="6C45B73B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0,1140 ha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4D81B9" w14:textId="4993478C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CZ1Z/00030568/0</w:t>
            </w:r>
          </w:p>
        </w:tc>
        <w:tc>
          <w:tcPr>
            <w:tcW w:w="1984" w:type="dxa"/>
          </w:tcPr>
          <w:p w14:paraId="0D6CFE99" w14:textId="77777777" w:rsidR="008031C8" w:rsidRDefault="008031C8" w:rsidP="00E72333">
            <w:pPr>
              <w:jc w:val="center"/>
              <w:rPr>
                <w:rFonts w:ascii="Arial" w:hAnsi="Arial" w:cs="Arial"/>
              </w:rPr>
            </w:pPr>
          </w:p>
          <w:p w14:paraId="24C878C2" w14:textId="4C6D053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 xml:space="preserve">Poręba, </w:t>
            </w:r>
          </w:p>
          <w:p w14:paraId="4D766465" w14:textId="39CD5DE1" w:rsidR="00E72333" w:rsidRPr="00957677" w:rsidRDefault="00E72333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ul. Partyzantów</w:t>
            </w:r>
          </w:p>
        </w:tc>
        <w:tc>
          <w:tcPr>
            <w:tcW w:w="2552" w:type="dxa"/>
          </w:tcPr>
          <w:p w14:paraId="79CB0899" w14:textId="77777777" w:rsidR="008031C8" w:rsidRDefault="008031C8" w:rsidP="00E72333">
            <w:pPr>
              <w:jc w:val="center"/>
              <w:rPr>
                <w:rFonts w:ascii="Arial" w:hAnsi="Arial" w:cs="Arial"/>
                <w:bCs/>
              </w:rPr>
            </w:pPr>
          </w:p>
          <w:p w14:paraId="51F65224" w14:textId="56E3BCB3" w:rsidR="00E72333" w:rsidRPr="00957677" w:rsidRDefault="00957677" w:rsidP="00E72333">
            <w:pPr>
              <w:jc w:val="center"/>
              <w:rPr>
                <w:rFonts w:ascii="Arial" w:hAnsi="Arial" w:cs="Arial"/>
                <w:bCs/>
              </w:rPr>
            </w:pPr>
            <w:r w:rsidRPr="00957677">
              <w:rPr>
                <w:rFonts w:ascii="Arial" w:hAnsi="Arial" w:cs="Arial"/>
                <w:bCs/>
              </w:rPr>
              <w:t>1</w:t>
            </w:r>
            <w:r w:rsidR="00E72333" w:rsidRPr="00957677">
              <w:rPr>
                <w:rFonts w:ascii="Arial" w:hAnsi="Arial" w:cs="Arial"/>
                <w:bCs/>
              </w:rPr>
              <w:t>7MN – teren zabudowy mieszkaniowej, jednorodzinnej</w:t>
            </w:r>
          </w:p>
        </w:tc>
        <w:tc>
          <w:tcPr>
            <w:tcW w:w="7938" w:type="dxa"/>
          </w:tcPr>
          <w:p w14:paraId="71BA1055" w14:textId="57A7E25D" w:rsidR="00E72333" w:rsidRPr="00957677" w:rsidRDefault="00392B23" w:rsidP="007A3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jest niezabudowana i niezagospodarowana, dostęp do drogi publicznej zapewniony jest przez projektowaną drogę wewnętrzną. Działka jest nieogrodzona, teren lekko pofalowany, kształt regularny. Najbliższe otoczenie nieruchomości stanowią tereny zieleni. </w:t>
            </w:r>
            <w:r w:rsidRPr="000C0C40">
              <w:rPr>
                <w:rFonts w:ascii="Arial" w:hAnsi="Arial" w:cs="Arial"/>
              </w:rPr>
              <w:t>Obszar na którym położona jest nieruchomość to typowy teren charakteryzujący się rozwojem w kierunku zabudowy mieszkaniowej jednorodzinnej oraz usług nieuciążliwych.</w:t>
            </w:r>
          </w:p>
        </w:tc>
        <w:tc>
          <w:tcPr>
            <w:tcW w:w="2268" w:type="dxa"/>
          </w:tcPr>
          <w:p w14:paraId="63651170" w14:textId="77777777" w:rsidR="00E72333" w:rsidRPr="008031C8" w:rsidRDefault="00E72333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17515C" w14:textId="77777777" w:rsidR="001D1B9B" w:rsidRPr="008031C8" w:rsidRDefault="001D1B9B" w:rsidP="00E723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71FE55" w14:textId="3B3F2A42" w:rsidR="00700A76" w:rsidRPr="00700A76" w:rsidRDefault="001D1B9B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1C8">
              <w:rPr>
                <w:rFonts w:ascii="Arial" w:hAnsi="Arial" w:cs="Arial"/>
                <w:b/>
                <w:bCs/>
              </w:rPr>
              <w:t>5</w:t>
            </w:r>
            <w:r w:rsidR="00BF0EA6">
              <w:rPr>
                <w:rFonts w:ascii="Arial" w:hAnsi="Arial" w:cs="Arial"/>
                <w:b/>
                <w:bCs/>
              </w:rPr>
              <w:t>1</w:t>
            </w:r>
            <w:r w:rsidRPr="008031C8">
              <w:rPr>
                <w:rFonts w:ascii="Arial" w:hAnsi="Arial" w:cs="Arial"/>
                <w:b/>
                <w:bCs/>
              </w:rPr>
              <w:t> </w:t>
            </w:r>
            <w:r w:rsidR="001C0104">
              <w:rPr>
                <w:rFonts w:ascii="Arial" w:hAnsi="Arial" w:cs="Arial"/>
                <w:b/>
                <w:bCs/>
              </w:rPr>
              <w:t>0</w:t>
            </w:r>
            <w:r w:rsidRPr="008031C8">
              <w:rPr>
                <w:rFonts w:ascii="Arial" w:hAnsi="Arial" w:cs="Arial"/>
                <w:b/>
                <w:bCs/>
              </w:rPr>
              <w:t>00,00 zł</w:t>
            </w:r>
            <w:r w:rsidR="00700A76">
              <w:rPr>
                <w:rFonts w:ascii="Arial" w:hAnsi="Arial" w:cs="Arial"/>
                <w:b/>
                <w:bCs/>
              </w:rPr>
              <w:t xml:space="preserve"> </w:t>
            </w:r>
            <w:r w:rsidR="00700A76" w:rsidRPr="00700A76">
              <w:rPr>
                <w:rFonts w:ascii="Arial" w:hAnsi="Arial" w:cs="Arial"/>
                <w:b/>
                <w:bCs/>
              </w:rPr>
              <w:t xml:space="preserve">+ </w:t>
            </w:r>
          </w:p>
          <w:p w14:paraId="0A11843E" w14:textId="7A36E82E" w:rsidR="001D1B9B" w:rsidRPr="008031C8" w:rsidRDefault="00700A76" w:rsidP="00700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A76">
              <w:rPr>
                <w:rFonts w:ascii="Arial" w:hAnsi="Arial" w:cs="Arial"/>
                <w:b/>
                <w:bCs/>
              </w:rPr>
              <w:t>23% VAT</w:t>
            </w:r>
          </w:p>
        </w:tc>
        <w:tc>
          <w:tcPr>
            <w:tcW w:w="2268" w:type="dxa"/>
          </w:tcPr>
          <w:p w14:paraId="03046EB4" w14:textId="77777777" w:rsidR="007A35E9" w:rsidRPr="00957677" w:rsidRDefault="007A35E9" w:rsidP="00E72333">
            <w:pPr>
              <w:jc w:val="center"/>
              <w:rPr>
                <w:rFonts w:ascii="Arial" w:hAnsi="Arial" w:cs="Arial"/>
              </w:rPr>
            </w:pPr>
          </w:p>
          <w:p w14:paraId="5D0AFFA2" w14:textId="0686F8D3" w:rsidR="00E72333" w:rsidRPr="00957677" w:rsidRDefault="007A35E9" w:rsidP="00E72333">
            <w:pPr>
              <w:jc w:val="center"/>
              <w:rPr>
                <w:rFonts w:ascii="Arial" w:hAnsi="Arial" w:cs="Arial"/>
              </w:rPr>
            </w:pPr>
            <w:r w:rsidRPr="00957677">
              <w:rPr>
                <w:rFonts w:ascii="Arial" w:hAnsi="Arial" w:cs="Arial"/>
              </w:rPr>
              <w:t>Najpóźniej w dniu zawarcia umowy notarialnej</w:t>
            </w:r>
          </w:p>
        </w:tc>
      </w:tr>
    </w:tbl>
    <w:p w14:paraId="1A330C5D" w14:textId="77777777" w:rsidR="008031C8" w:rsidRDefault="008031C8" w:rsidP="008031C8">
      <w:pPr>
        <w:jc w:val="both"/>
        <w:rPr>
          <w:rFonts w:ascii="Arial" w:hAnsi="Arial" w:cs="Arial"/>
        </w:rPr>
      </w:pPr>
    </w:p>
    <w:p w14:paraId="0E8A19CB" w14:textId="23AC0B1D" w:rsidR="008031C8" w:rsidRPr="008031C8" w:rsidRDefault="008031C8" w:rsidP="008031C8">
      <w:pPr>
        <w:jc w:val="both"/>
        <w:rPr>
          <w:rFonts w:ascii="Arial" w:hAnsi="Arial" w:cs="Arial"/>
          <w:sz w:val="24"/>
          <w:szCs w:val="24"/>
        </w:rPr>
      </w:pPr>
      <w:r w:rsidRPr="008031C8">
        <w:rPr>
          <w:rFonts w:ascii="Arial" w:hAnsi="Arial" w:cs="Arial"/>
          <w:sz w:val="24"/>
          <w:szCs w:val="24"/>
        </w:rPr>
        <w:t>Dodatkowych informacji udziela Referat Nieruchomości i Mienia Komunalnego  Urzędu Miasta Poręba, ul. Dworcowa 1, 42-480 Poręba (tel. 32 67 71 867)</w:t>
      </w:r>
    </w:p>
    <w:p w14:paraId="30F05659" w14:textId="5130D8B6" w:rsidR="008031C8" w:rsidRDefault="008031C8" w:rsidP="008031C8">
      <w:pPr>
        <w:jc w:val="both"/>
        <w:rPr>
          <w:rFonts w:ascii="Arial" w:hAnsi="Arial" w:cs="Arial"/>
          <w:sz w:val="24"/>
          <w:szCs w:val="24"/>
        </w:rPr>
      </w:pPr>
      <w:r w:rsidRPr="008031C8">
        <w:rPr>
          <w:rFonts w:ascii="Arial" w:hAnsi="Arial" w:cs="Arial"/>
          <w:sz w:val="24"/>
          <w:szCs w:val="24"/>
        </w:rPr>
        <w:t>Termin składania wniosków przez osoby, którym przysługuje pierwszeństwo w nabyciu nieruchomości na podstawie art. 34 ustawy o gospodarce nieruchomościami (</w:t>
      </w:r>
      <w:proofErr w:type="spellStart"/>
      <w:r w:rsidR="00FD6CB5" w:rsidRPr="00FD6CB5">
        <w:rPr>
          <w:rFonts w:ascii="Arial" w:hAnsi="Arial" w:cs="Arial"/>
          <w:sz w:val="24"/>
          <w:szCs w:val="24"/>
        </w:rPr>
        <w:t>t.j</w:t>
      </w:r>
      <w:proofErr w:type="spellEnd"/>
      <w:r w:rsidR="00FD6CB5" w:rsidRPr="00FD6CB5">
        <w:rPr>
          <w:rFonts w:ascii="Arial" w:hAnsi="Arial" w:cs="Arial"/>
          <w:sz w:val="24"/>
          <w:szCs w:val="24"/>
        </w:rPr>
        <w:t xml:space="preserve">. Dz.U.2020 poz. 65 z </w:t>
      </w:r>
      <w:proofErr w:type="spellStart"/>
      <w:r w:rsidR="00FD6CB5" w:rsidRPr="00FD6CB5">
        <w:rPr>
          <w:rFonts w:ascii="Arial" w:hAnsi="Arial" w:cs="Arial"/>
          <w:sz w:val="24"/>
          <w:szCs w:val="24"/>
        </w:rPr>
        <w:t>późn</w:t>
      </w:r>
      <w:proofErr w:type="spellEnd"/>
      <w:r w:rsidR="00FD6CB5" w:rsidRPr="00FD6CB5">
        <w:rPr>
          <w:rFonts w:ascii="Arial" w:hAnsi="Arial" w:cs="Arial"/>
          <w:sz w:val="24"/>
          <w:szCs w:val="24"/>
        </w:rPr>
        <w:t>. zm.</w:t>
      </w:r>
      <w:r w:rsidRPr="008031C8">
        <w:rPr>
          <w:rFonts w:ascii="Arial" w:hAnsi="Arial" w:cs="Arial"/>
          <w:sz w:val="24"/>
          <w:szCs w:val="24"/>
        </w:rPr>
        <w:t xml:space="preserve">) upływa dnia </w:t>
      </w:r>
      <w:r w:rsidR="001C0104">
        <w:rPr>
          <w:rFonts w:ascii="Arial" w:hAnsi="Arial" w:cs="Arial"/>
          <w:sz w:val="24"/>
          <w:szCs w:val="24"/>
        </w:rPr>
        <w:t>07</w:t>
      </w:r>
      <w:r w:rsidRPr="008031C8">
        <w:rPr>
          <w:rFonts w:ascii="Arial" w:hAnsi="Arial" w:cs="Arial"/>
          <w:sz w:val="24"/>
          <w:szCs w:val="24"/>
        </w:rPr>
        <w:t xml:space="preserve"> </w:t>
      </w:r>
      <w:r w:rsidR="001C0104">
        <w:rPr>
          <w:rFonts w:ascii="Arial" w:hAnsi="Arial" w:cs="Arial"/>
          <w:sz w:val="24"/>
          <w:szCs w:val="24"/>
        </w:rPr>
        <w:t>sierpnia</w:t>
      </w:r>
      <w:r w:rsidRPr="008031C8">
        <w:rPr>
          <w:rFonts w:ascii="Arial" w:hAnsi="Arial" w:cs="Arial"/>
          <w:sz w:val="24"/>
          <w:szCs w:val="24"/>
        </w:rPr>
        <w:t xml:space="preserve"> 20</w:t>
      </w:r>
      <w:r w:rsidR="001C0104">
        <w:rPr>
          <w:rFonts w:ascii="Arial" w:hAnsi="Arial" w:cs="Arial"/>
          <w:sz w:val="24"/>
          <w:szCs w:val="24"/>
        </w:rPr>
        <w:t>20</w:t>
      </w:r>
      <w:r w:rsidRPr="008031C8">
        <w:rPr>
          <w:rFonts w:ascii="Arial" w:hAnsi="Arial" w:cs="Arial"/>
          <w:sz w:val="24"/>
          <w:szCs w:val="24"/>
        </w:rPr>
        <w:t xml:space="preserve"> r.</w:t>
      </w:r>
    </w:p>
    <w:p w14:paraId="59F6A6A4" w14:textId="6663CA53" w:rsidR="00BA35AF" w:rsidRDefault="00BA35AF" w:rsidP="008031C8">
      <w:pPr>
        <w:jc w:val="both"/>
        <w:rPr>
          <w:rFonts w:ascii="Arial" w:hAnsi="Arial" w:cs="Arial"/>
          <w:sz w:val="24"/>
          <w:szCs w:val="24"/>
        </w:rPr>
      </w:pPr>
    </w:p>
    <w:p w14:paraId="0136DE43" w14:textId="30F9629E" w:rsidR="004C3222" w:rsidRPr="004C3222" w:rsidRDefault="004C3222" w:rsidP="004C3222">
      <w:pPr>
        <w:rPr>
          <w:rFonts w:ascii="Arial" w:hAnsi="Arial" w:cs="Arial"/>
          <w:sz w:val="28"/>
          <w:szCs w:val="28"/>
        </w:rPr>
      </w:pPr>
      <w:r w:rsidRPr="004C3222">
        <w:rPr>
          <w:rFonts w:ascii="Arial" w:hAnsi="Arial" w:cs="Arial"/>
          <w:sz w:val="28"/>
          <w:szCs w:val="28"/>
        </w:rPr>
        <w:t>Lokalizacja działek przeznaczonych do sprzedaży zgodnie z zarządzeniem Burmistrza Miasta Poręba nr 114/2020</w:t>
      </w:r>
    </w:p>
    <w:p w14:paraId="4E0ED50A" w14:textId="77777777" w:rsidR="00BA35AF" w:rsidRDefault="00BA35AF" w:rsidP="004C3222">
      <w:pPr>
        <w:jc w:val="right"/>
        <w:rPr>
          <w:rFonts w:ascii="Arial" w:hAnsi="Arial" w:cs="Arial"/>
          <w:sz w:val="24"/>
          <w:szCs w:val="24"/>
        </w:rPr>
      </w:pPr>
    </w:p>
    <w:p w14:paraId="08DD51C7" w14:textId="2A0FC87D" w:rsidR="00BA35AF" w:rsidRDefault="00BA35AF" w:rsidP="00BA35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4ACB4E" wp14:editId="1FE5F8A5">
            <wp:extent cx="12925147" cy="7072746"/>
            <wp:effectExtent l="76200" t="76200" r="124460" b="128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"/>
                    <a:stretch/>
                  </pic:blipFill>
                  <pic:spPr bwMode="auto">
                    <a:xfrm>
                      <a:off x="0" y="0"/>
                      <a:ext cx="12938536" cy="70800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B1B15" w14:textId="6A491CAA" w:rsidR="00BA35AF" w:rsidRPr="008031C8" w:rsidRDefault="00BA35AF" w:rsidP="004C3222">
      <w:pPr>
        <w:jc w:val="right"/>
        <w:rPr>
          <w:rFonts w:ascii="Arial" w:hAnsi="Arial" w:cs="Arial"/>
          <w:sz w:val="24"/>
          <w:szCs w:val="24"/>
        </w:rPr>
      </w:pPr>
    </w:p>
    <w:sectPr w:rsidR="00BA35AF" w:rsidRPr="008031C8" w:rsidSect="00E7233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0D"/>
    <w:rsid w:val="000C0C40"/>
    <w:rsid w:val="001018F3"/>
    <w:rsid w:val="001370DC"/>
    <w:rsid w:val="001C0104"/>
    <w:rsid w:val="001D1B9B"/>
    <w:rsid w:val="002503DE"/>
    <w:rsid w:val="00392B23"/>
    <w:rsid w:val="00400DC7"/>
    <w:rsid w:val="004B370D"/>
    <w:rsid w:val="004C3222"/>
    <w:rsid w:val="00700A76"/>
    <w:rsid w:val="007A35E9"/>
    <w:rsid w:val="008031C8"/>
    <w:rsid w:val="008179FF"/>
    <w:rsid w:val="00833AD1"/>
    <w:rsid w:val="008468A5"/>
    <w:rsid w:val="008518EC"/>
    <w:rsid w:val="00860694"/>
    <w:rsid w:val="008F408C"/>
    <w:rsid w:val="00957677"/>
    <w:rsid w:val="00AA7B6F"/>
    <w:rsid w:val="00AE5A69"/>
    <w:rsid w:val="00B304A5"/>
    <w:rsid w:val="00BA35AF"/>
    <w:rsid w:val="00BB6AE1"/>
    <w:rsid w:val="00BF0EA6"/>
    <w:rsid w:val="00C43D06"/>
    <w:rsid w:val="00E42D99"/>
    <w:rsid w:val="00E72333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6F96"/>
  <w15:chartTrackingRefBased/>
  <w15:docId w15:val="{2A2F1E00-96B4-4B76-90A3-D1184DA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18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0C0C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Kratochwil</dc:creator>
  <cp:keywords/>
  <dc:description/>
  <cp:lastModifiedBy>Klaudia  Kratochwil</cp:lastModifiedBy>
  <cp:revision>4</cp:revision>
  <cp:lastPrinted>2020-06-26T09:34:00Z</cp:lastPrinted>
  <dcterms:created xsi:type="dcterms:W3CDTF">2020-06-24T08:35:00Z</dcterms:created>
  <dcterms:modified xsi:type="dcterms:W3CDTF">2020-06-26T10:12:00Z</dcterms:modified>
</cp:coreProperties>
</file>